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AB" w:rsidRDefault="002346F7" w:rsidP="00B610A2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69DF">
        <w:rPr>
          <w:rFonts w:ascii="Arial" w:hAnsi="Arial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-5715</wp:posOffset>
            </wp:positionV>
            <wp:extent cx="3343275" cy="1289099"/>
            <wp:effectExtent l="0" t="0" r="0" b="0"/>
            <wp:wrapTight wrapText="bothSides">
              <wp:wrapPolygon edited="0">
                <wp:start x="0" y="0"/>
                <wp:lineTo x="0" y="21387"/>
                <wp:lineTo x="21415" y="21387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8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6"/>
          <w:szCs w:val="2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:rsidR="00B610A2" w:rsidRPr="00932856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26"/>
              <w:szCs w:val="26"/>
            </w:rPr>
          </w:pPr>
        </w:p>
        <w:p w:rsidR="00334165" w:rsidRPr="00932856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982629" w:rsidRDefault="00982629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Pr="00816F17" w:rsidRDefault="00B01994" w:rsidP="00816F1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56"/>
              <w:szCs w:val="56"/>
            </w:rPr>
          </w:pPr>
        </w:p>
        <w:p w:rsidR="005213A3" w:rsidRDefault="005213A3" w:rsidP="002346F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</w:rPr>
            <w:id w:val="-191387312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  <w:u w:val="single"/>
            </w:rPr>
          </w:sdtEndPr>
          <w:sdtContent>
            <w:p w:rsidR="008F17DE" w:rsidRDefault="008F17DE" w:rsidP="008F17DE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:rsidR="008F17DE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8F17DE" w:rsidRPr="00A204BB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8F17DE" w:rsidRPr="00B95B16" w:rsidRDefault="008F17DE" w:rsidP="008F17DE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:rsidR="008F17DE" w:rsidRPr="00B95B16" w:rsidRDefault="008F17DE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Социальная работа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:rsidR="008F17DE" w:rsidRPr="00B95B16" w:rsidRDefault="008F17DE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i/>
                  <w:sz w:val="40"/>
                  <w:szCs w:val="40"/>
                </w:rPr>
                <w:t xml:space="preserve"> </w:t>
              </w:r>
              <w:r w:rsidRPr="008F17DE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202</w:t>
              </w:r>
              <w:r w:rsidR="00133829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6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:rsidR="008F17DE" w:rsidRPr="00133829" w:rsidRDefault="00133829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</w:pPr>
              <w:r w:rsidRPr="00133829"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>Красноярский край</w:t>
              </w:r>
            </w:p>
          </w:sdtContent>
        </w:sdt>
        <w:p w:rsidR="008F17DE" w:rsidRDefault="008F17DE" w:rsidP="008F17DE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9B18A2" w:rsidRPr="00932856" w:rsidRDefault="009B18A2" w:rsidP="00816F1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334165" w:rsidRPr="00932856" w:rsidRDefault="00F361E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</w:sdtContent>
    </w:sdt>
    <w:p w:rsidR="006C6D6D" w:rsidRPr="00932856" w:rsidRDefault="006C6D6D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865784" w:rsidRPr="0092635F" w:rsidRDefault="002346F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92635F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13382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B18A2" w:rsidRPr="0092635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3F0EAE" w:rsidRDefault="003F0EAE" w:rsidP="003F0EA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3F0EAE" w:rsidRDefault="003F0EAE" w:rsidP="003F0EA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3F0EAE" w:rsidRPr="009560BC" w:rsidRDefault="003F0EAE" w:rsidP="00F54E3A">
      <w:pPr>
        <w:pStyle w:val="bullet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60BC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3F0EAE" w:rsidRPr="009560BC" w:rsidRDefault="003661CA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560BC">
        <w:rPr>
          <w:rFonts w:ascii="Times New Roman" w:hAnsi="Times New Roman"/>
          <w:sz w:val="28"/>
          <w:lang w:val="ru-RU" w:eastAsia="ru-RU"/>
        </w:rPr>
        <w:fldChar w:fldCharType="begin"/>
      </w:r>
      <w:r w:rsidR="003F0EAE" w:rsidRPr="00956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560BC">
        <w:rPr>
          <w:rFonts w:ascii="Times New Roman" w:hAnsi="Times New Roman"/>
          <w:sz w:val="28"/>
          <w:lang w:val="ru-RU" w:eastAsia="ru-RU"/>
        </w:rPr>
        <w:fldChar w:fldCharType="separate"/>
      </w:r>
      <w:hyperlink r:id="rId9" w:anchor="_Toc142037183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……………………………….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begin"/>
        </w:r>
        <w:r w:rsidR="003F0EAE" w:rsidRPr="009560BC">
          <w:rPr>
            <w:rStyle w:val="ae"/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separate"/>
        </w:r>
        <w:r w:rsidR="00EC0845">
          <w:rPr>
            <w:rStyle w:val="ae"/>
            <w:rFonts w:ascii="Times New Roman" w:hAnsi="Times New Roman"/>
            <w:noProof/>
            <w:webHidden/>
            <w:sz w:val="28"/>
          </w:rPr>
          <w:t>4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0" w:anchor="_Toc142037184" w:history="1">
        <w:r w:rsidR="003F0EAE" w:rsidRPr="009560BC">
          <w:rPr>
            <w:rStyle w:val="ae"/>
          </w:rPr>
          <w:t>1.1. Общие сведения о требованиях компетенции</w:t>
        </w:r>
        <w:r w:rsidR="009560BC">
          <w:rPr>
            <w:rStyle w:val="ae"/>
            <w:webHidden/>
          </w:rPr>
          <w:t>………………………………...</w:t>
        </w:r>
        <w:r w:rsidR="003661CA" w:rsidRPr="009560BC">
          <w:rPr>
            <w:rStyle w:val="ae"/>
            <w:webHidden/>
          </w:rPr>
          <w:fldChar w:fldCharType="begin"/>
        </w:r>
        <w:r w:rsidR="003F0EAE" w:rsidRPr="009560BC">
          <w:rPr>
            <w:rStyle w:val="ae"/>
            <w:webHidden/>
          </w:rPr>
          <w:instrText xml:space="preserve"> PAGEREF _Toc142037184 \h </w:instrText>
        </w:r>
        <w:r w:rsidR="003661CA" w:rsidRPr="009560BC">
          <w:rPr>
            <w:rStyle w:val="ae"/>
            <w:webHidden/>
          </w:rPr>
        </w:r>
        <w:r w:rsidR="003661CA" w:rsidRPr="009560BC">
          <w:rPr>
            <w:rStyle w:val="ae"/>
            <w:webHidden/>
          </w:rPr>
          <w:fldChar w:fldCharType="separate"/>
        </w:r>
        <w:r w:rsidR="00EC0845">
          <w:rPr>
            <w:rStyle w:val="ae"/>
            <w:webHidden/>
          </w:rPr>
          <w:t>4</w:t>
        </w:r>
        <w:r w:rsidR="003661CA" w:rsidRPr="009560BC">
          <w:rPr>
            <w:rStyle w:val="ae"/>
            <w:webHidden/>
          </w:rPr>
          <w:fldChar w:fldCharType="end"/>
        </w:r>
      </w:hyperlink>
    </w:p>
    <w:p w:rsidR="003F0EAE" w:rsidRPr="008F17DE" w:rsidRDefault="00F361E3" w:rsidP="008F17DE">
      <w:pPr>
        <w:pStyle w:val="25"/>
        <w:rPr>
          <w:rFonts w:eastAsiaTheme="minorEastAsia"/>
          <w:kern w:val="2"/>
        </w:rPr>
      </w:pPr>
      <w:hyperlink r:id="rId11" w:anchor="_Toc142037185" w:history="1">
        <w:r w:rsidR="003F0EAE" w:rsidRPr="008F17DE">
          <w:rPr>
            <w:rStyle w:val="ae"/>
          </w:rPr>
          <w:t>1.2. Перечень профессиональных задач специалиста по компетенции «</w:t>
        </w:r>
        <w:r w:rsidR="007F508C" w:rsidRPr="008F17DE">
          <w:rPr>
            <w:rStyle w:val="ae"/>
          </w:rPr>
          <w:t>Социальная работа</w:t>
        </w:r>
        <w:r w:rsidR="003F0EAE" w:rsidRPr="008F17DE">
          <w:rPr>
            <w:rStyle w:val="ae"/>
          </w:rPr>
          <w:t>»</w:t>
        </w:r>
        <w:r w:rsidR="009560BC" w:rsidRPr="008F17DE">
          <w:rPr>
            <w:rStyle w:val="ae"/>
            <w:webHidden/>
          </w:rPr>
          <w:t>……………………………………………………</w:t>
        </w:r>
      </w:hyperlink>
      <w:r w:rsidR="008F17DE" w:rsidRPr="008F17DE">
        <w:rPr>
          <w:rStyle w:val="ae"/>
          <w:color w:val="auto"/>
        </w:rPr>
        <w:t xml:space="preserve">………… </w:t>
      </w:r>
      <w:r w:rsidR="008F17DE" w:rsidRPr="008F17DE">
        <w:rPr>
          <w:rStyle w:val="ae"/>
          <w:b/>
          <w:color w:val="auto"/>
        </w:rPr>
        <w:t xml:space="preserve"> </w:t>
      </w:r>
      <w:r w:rsidR="008F17DE" w:rsidRPr="008F17DE">
        <w:rPr>
          <w:rStyle w:val="ae"/>
          <w:color w:val="auto"/>
        </w:rPr>
        <w:t xml:space="preserve">4   </w:t>
      </w:r>
      <w:r w:rsidR="008F17DE" w:rsidRPr="008F17DE">
        <w:rPr>
          <w:rStyle w:val="ae"/>
        </w:rPr>
        <w:t xml:space="preserve"> 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2" w:anchor="_Toc142037186" w:history="1">
        <w:r w:rsidR="003F0EAE" w:rsidRPr="009560BC">
          <w:rPr>
            <w:rStyle w:val="ae"/>
          </w:rPr>
          <w:t>1.3. Требования к схеме оценки</w:t>
        </w:r>
        <w:r w:rsidR="009560BC">
          <w:rPr>
            <w:rStyle w:val="ae"/>
            <w:webHidden/>
          </w:rPr>
          <w:t>…………………………………………………...</w:t>
        </w:r>
        <w:r w:rsidR="002233FC" w:rsidRPr="009560BC">
          <w:rPr>
            <w:rStyle w:val="ae"/>
            <w:webHidden/>
          </w:rPr>
          <w:t>1</w:t>
        </w:r>
      </w:hyperlink>
      <w:r w:rsidR="009560BC" w:rsidRPr="009560BC">
        <w:t>4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3" w:anchor="_Toc142037187" w:history="1">
        <w:r w:rsidR="003F0EAE" w:rsidRPr="009560BC">
          <w:rPr>
            <w:rStyle w:val="ae"/>
          </w:rPr>
          <w:t>1.4. Спецификация оценки компетенции</w:t>
        </w:r>
        <w:r w:rsidR="009560BC">
          <w:rPr>
            <w:rStyle w:val="ae"/>
            <w:webHidden/>
          </w:rPr>
          <w:t>…………………………………………</w:t>
        </w:r>
        <w:r w:rsidR="002233FC" w:rsidRPr="009560BC">
          <w:rPr>
            <w:rStyle w:val="ae"/>
            <w:webHidden/>
          </w:rPr>
          <w:t>1</w:t>
        </w:r>
      </w:hyperlink>
      <w:r w:rsidR="009560BC" w:rsidRPr="009560BC">
        <w:t>5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4" w:anchor="_Toc142037188" w:history="1">
        <w:r w:rsidR="003F0EAE" w:rsidRPr="009560BC">
          <w:rPr>
            <w:rStyle w:val="ae"/>
          </w:rPr>
          <w:t xml:space="preserve">1.5. </w:t>
        </w:r>
        <w:r w:rsidR="008F17DE" w:rsidRPr="008F17DE">
          <w:rPr>
            <w:rStyle w:val="ae"/>
          </w:rPr>
          <w:t>Содержание конкурсного задания</w:t>
        </w:r>
        <w:r w:rsidR="008F17DE" w:rsidRPr="008F17DE">
          <w:rPr>
            <w:rStyle w:val="ae"/>
            <w:webHidden/>
          </w:rPr>
          <w:t xml:space="preserve"> </w:t>
        </w:r>
        <w:r w:rsidR="009560BC">
          <w:rPr>
            <w:rStyle w:val="ae"/>
            <w:webHidden/>
          </w:rPr>
          <w:t>………………………………………</w:t>
        </w:r>
        <w:r w:rsidR="008F17DE">
          <w:rPr>
            <w:rStyle w:val="ae"/>
            <w:webHidden/>
          </w:rPr>
          <w:t xml:space="preserve"> …..</w:t>
        </w:r>
        <w:r w:rsidR="002233FC" w:rsidRPr="009560BC">
          <w:rPr>
            <w:rStyle w:val="ae"/>
            <w:webHidden/>
          </w:rPr>
          <w:t>1</w:t>
        </w:r>
      </w:hyperlink>
      <w:r w:rsidR="009560BC" w:rsidRPr="009560BC">
        <w:t>5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5" w:anchor="_Toc142037189" w:history="1">
        <w:r w:rsidR="003F0EAE" w:rsidRPr="009560BC">
          <w:rPr>
            <w:rStyle w:val="ae"/>
          </w:rPr>
          <w:t>1.5.1. Разработка/выбор конкурсного задания</w:t>
        </w:r>
      </w:hyperlink>
      <w:r w:rsidR="009560BC">
        <w:t>……………………………………</w:t>
      </w:r>
      <w:r w:rsidR="009560BC" w:rsidRPr="009560BC">
        <w:t>16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6" w:anchor="_Toc142037190" w:history="1">
        <w:r w:rsidR="003F0EAE" w:rsidRPr="009560BC">
          <w:rPr>
            <w:rStyle w:val="ae"/>
          </w:rPr>
          <w:t>1.5.2. Структура модулей конкурсного задания (инвариант/вариатив)</w:t>
        </w:r>
      </w:hyperlink>
      <w:r w:rsidR="009560BC">
        <w:t>………...</w:t>
      </w:r>
      <w:r w:rsidR="009560BC" w:rsidRPr="009560BC">
        <w:t>16</w:t>
      </w:r>
    </w:p>
    <w:p w:rsidR="003F0EAE" w:rsidRPr="009560BC" w:rsidRDefault="00F361E3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17" w:anchor="_Toc142037191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 xml:space="preserve"> ……………………………..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9560BC" w:rsidRPr="009560BC">
        <w:rPr>
          <w:rFonts w:ascii="Times New Roman" w:hAnsi="Times New Roman"/>
          <w:sz w:val="28"/>
          <w:lang w:val="ru-RU"/>
        </w:rPr>
        <w:t>0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8" w:anchor="_Toc142037192" w:history="1">
        <w:r w:rsidR="003F0EAE" w:rsidRPr="009560BC">
          <w:rPr>
            <w:rStyle w:val="ae"/>
          </w:rPr>
          <w:t>2.1. Личный инструмент конкурсанта</w:t>
        </w:r>
        <w:r w:rsidR="009560BC">
          <w:rPr>
            <w:rStyle w:val="ae"/>
            <w:webHidden/>
          </w:rPr>
          <w:t>…………………………………………….</w:t>
        </w:r>
        <w:r w:rsidR="002233FC" w:rsidRPr="009560BC">
          <w:rPr>
            <w:rStyle w:val="ae"/>
            <w:webHidden/>
          </w:rPr>
          <w:t>2</w:t>
        </w:r>
      </w:hyperlink>
      <w:r w:rsidR="009560BC" w:rsidRPr="009560BC">
        <w:t>0</w:t>
      </w:r>
    </w:p>
    <w:p w:rsidR="003F0EAE" w:rsidRPr="009560BC" w:rsidRDefault="00F361E3" w:rsidP="008F17DE">
      <w:pPr>
        <w:pStyle w:val="25"/>
        <w:rPr>
          <w:rFonts w:eastAsiaTheme="minorEastAsia"/>
          <w:kern w:val="2"/>
        </w:rPr>
      </w:pPr>
      <w:hyperlink r:id="rId19" w:anchor="_Toc142037193" w:history="1">
        <w:r w:rsidR="003F0EAE" w:rsidRPr="009560BC">
          <w:rPr>
            <w:rStyle w:val="ae"/>
          </w:rPr>
          <w:t>2.2.Материалы, оборудование и инструменты, запрещенные на площадке</w:t>
        </w:r>
        <w:r w:rsidR="009560BC">
          <w:rPr>
            <w:rStyle w:val="ae"/>
            <w:webHidden/>
          </w:rPr>
          <w:t>……</w:t>
        </w:r>
        <w:r w:rsidR="002233FC" w:rsidRPr="009560BC">
          <w:rPr>
            <w:rStyle w:val="ae"/>
            <w:webHidden/>
          </w:rPr>
          <w:t>2</w:t>
        </w:r>
      </w:hyperlink>
      <w:r w:rsidR="009560BC" w:rsidRPr="009560BC">
        <w:t>0</w:t>
      </w:r>
    </w:p>
    <w:p w:rsidR="003F0EAE" w:rsidRPr="009560BC" w:rsidRDefault="00F361E3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20" w:anchor="_Toc142037194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………………………………………………………………….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9560BC" w:rsidRPr="009560BC">
        <w:rPr>
          <w:rFonts w:ascii="Times New Roman" w:hAnsi="Times New Roman"/>
          <w:sz w:val="28"/>
          <w:lang w:val="ru-RU"/>
        </w:rPr>
        <w:t>0</w:t>
      </w:r>
    </w:p>
    <w:p w:rsidR="00AA2B8A" w:rsidRPr="00932856" w:rsidRDefault="003661CA" w:rsidP="009560BC">
      <w:pPr>
        <w:spacing w:after="0" w:line="36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9560BC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204BB" w:rsidRPr="009560BC" w:rsidRDefault="00D37DEA" w:rsidP="003F0EAE">
      <w:pPr>
        <w:pStyle w:val="bullet"/>
        <w:numPr>
          <w:ilvl w:val="0"/>
          <w:numId w:val="0"/>
        </w:numPr>
        <w:spacing w:line="276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50AC5" w:rsidRPr="009560BC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870CE" w:rsidRPr="009560BC" w:rsidRDefault="000870CE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  <w:r w:rsidR="00865784" w:rsidRPr="009560BC"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КО – критерии оценки;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ПЗ – план застройки;</w:t>
      </w:r>
    </w:p>
    <w:p w:rsidR="00F50AC5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ТК – требования компетенции </w:t>
      </w:r>
      <w:r w:rsidR="0004626D" w:rsidRPr="009560BC">
        <w:rPr>
          <w:rFonts w:ascii="Times New Roman" w:hAnsi="Times New Roman"/>
          <w:bCs/>
          <w:sz w:val="28"/>
          <w:szCs w:val="28"/>
          <w:lang w:val="ru-RU" w:eastAsia="ru-RU"/>
        </w:rPr>
        <w:t>СР – социальная работа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СОП – социально – опасное положение</w:t>
      </w:r>
    </w:p>
    <w:p w:rsidR="00783A96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СВО – </w:t>
      </w:r>
      <w:r w:rsidR="00243F97" w:rsidRPr="009560BC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пециальная военная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операция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МСЭ – медико – социальная экспертиза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Н/Л – несовершеннолетний </w:t>
      </w:r>
    </w:p>
    <w:p w:rsidR="0004626D" w:rsidRPr="009560BC" w:rsidRDefault="00163C5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ПМПК – психолого – медико – педагогический</w:t>
      </w:r>
      <w:r w:rsidR="008F17D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консилиум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НКО – некоммерческая организация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ИППСУ – индивидуальная программа предоставления социальных услуг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КДН – комиссия по делам несовершеннолетних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ОДН – отдел по делам несовершеннолетних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ТКДН и ЗП – территориальная комиссия по делам несовершеннолетних и защите их прав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ОВЗ – ограниченные возможности здоровья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БОМЖ – без определенного места жительства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УСЗН – управление социальной защитой населения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КЦСОН – комплексный центр социального обслуживания населения </w:t>
      </w:r>
    </w:p>
    <w:p w:rsidR="00352160" w:rsidRPr="009560BC" w:rsidRDefault="0035216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ИПРА </w:t>
      </w:r>
      <w:r w:rsidR="008A229C"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–Индивидуальная программа реабилитации и </w:t>
      </w:r>
      <w:proofErr w:type="spellStart"/>
      <w:r w:rsidR="008A229C" w:rsidRPr="009560BC">
        <w:rPr>
          <w:rFonts w:ascii="Times New Roman" w:hAnsi="Times New Roman"/>
          <w:bCs/>
          <w:sz w:val="28"/>
          <w:szCs w:val="28"/>
          <w:lang w:val="ru-RU" w:eastAsia="ru-RU"/>
        </w:rPr>
        <w:t>абилитации</w:t>
      </w:r>
      <w:proofErr w:type="spellEnd"/>
    </w:p>
    <w:p w:rsidR="00E04FDF" w:rsidRPr="009560BC" w:rsidRDefault="00DE39D8" w:rsidP="00774145">
      <w:pPr>
        <w:spacing w:after="0" w:line="240" w:lineRule="auto"/>
        <w:ind w:firstLine="9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9560B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:rsidR="00DA533B" w:rsidRPr="009560BC" w:rsidRDefault="00DA533B" w:rsidP="009560B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9560BC"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:rsidR="00DA533B" w:rsidRPr="009560BC" w:rsidRDefault="009560B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9560BC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8951C0" w:rsidRPr="009560BC"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9560BC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8F17DE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9560BC">
        <w:rPr>
          <w:rFonts w:ascii="Times New Roman" w:hAnsi="Times New Roman" w:cs="Times New Roman"/>
          <w:sz w:val="28"/>
          <w:szCs w:val="28"/>
        </w:rPr>
        <w:t>определя</w:t>
      </w:r>
      <w:r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9560BC">
        <w:rPr>
          <w:rFonts w:ascii="Times New Roman" w:hAnsi="Times New Roman" w:cs="Times New Roman"/>
          <w:sz w:val="28"/>
          <w:szCs w:val="28"/>
        </w:rPr>
        <w:t>я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9560B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9560B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9560B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9560BC" w:rsidRDefault="000244D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9560BC" w:rsidRDefault="00C56A9B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</w:t>
      </w:r>
      <w:r w:rsidR="00D37DEA" w:rsidRPr="009560B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9560BC">
        <w:rPr>
          <w:rFonts w:ascii="Times New Roman" w:hAnsi="Times New Roman" w:cs="Times New Roman"/>
          <w:sz w:val="28"/>
          <w:szCs w:val="28"/>
        </w:rPr>
        <w:t>явля</w:t>
      </w:r>
      <w:r w:rsidR="00D37DEA"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9560B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9560B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9560BC" w:rsidRDefault="00E857D6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9560B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9560BC">
        <w:rPr>
          <w:rFonts w:ascii="Times New Roman" w:hAnsi="Times New Roman" w:cs="Times New Roman"/>
          <w:sz w:val="28"/>
          <w:szCs w:val="28"/>
        </w:rPr>
        <w:t>ы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9560BC">
        <w:rPr>
          <w:rFonts w:ascii="Times New Roman" w:hAnsi="Times New Roman" w:cs="Times New Roman"/>
          <w:sz w:val="28"/>
          <w:szCs w:val="28"/>
        </w:rPr>
        <w:t>, к</w:t>
      </w:r>
      <w:r w:rsidR="00E857D6" w:rsidRPr="009560B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9560BC">
        <w:rPr>
          <w:rFonts w:ascii="Times New Roman" w:hAnsi="Times New Roman" w:cs="Times New Roman"/>
          <w:sz w:val="28"/>
          <w:szCs w:val="28"/>
        </w:rPr>
        <w:t>, с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9560B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9560BC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40E46" w:rsidRPr="009560BC" w:rsidRDefault="00640E46" w:rsidP="009560BC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42093" w:rsidRDefault="00DA533B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</w:t>
      </w:r>
      <w:r w:rsidR="00073E37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 по</w:t>
      </w:r>
      <w:r w:rsidR="009560BC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компетенции «</w:t>
      </w:r>
      <w:r w:rsid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оциальная работа»</w:t>
      </w:r>
      <w:r w:rsidR="00642093" w:rsidRPr="0064209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2093" w:rsidRPr="00642093" w:rsidRDefault="00642093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2093">
        <w:rPr>
          <w:rFonts w:ascii="Times New Roman" w:hAnsi="Times New Roman" w:cs="Times New Roman"/>
          <w:iCs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</w:t>
      </w:r>
      <w:r w:rsidRPr="00642093">
        <w:rPr>
          <w:rFonts w:ascii="Times New Roman" w:hAnsi="Times New Roman"/>
          <w:iCs/>
          <w:sz w:val="28"/>
          <w:szCs w:val="28"/>
        </w:rPr>
        <w:t xml:space="preserve">профессионального стандарта </w:t>
      </w:r>
      <w:r w:rsidRPr="00642093">
        <w:rPr>
          <w:rFonts w:ascii="Times New Roman" w:eastAsia="Times New Roman" w:hAnsi="Times New Roman"/>
          <w:sz w:val="28"/>
          <w:szCs w:val="28"/>
        </w:rPr>
        <w:t>«Специалист по социальной работе» утверждённого приказом Министерства труда и социальной защиты РФ 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093">
        <w:rPr>
          <w:rFonts w:ascii="Times New Roman" w:hAnsi="Times New Roman" w:cs="Times New Roman"/>
          <w:iCs/>
          <w:sz w:val="28"/>
          <w:szCs w:val="28"/>
        </w:rPr>
        <w:t>базируется на требованиях современного рынка труда к данному специалисту.</w:t>
      </w:r>
    </w:p>
    <w:p w:rsidR="00073E37" w:rsidRDefault="00073E37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Pr="009560BC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33B" w:rsidRPr="009560BC" w:rsidRDefault="009560BC" w:rsidP="009560BC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DA533B" w:rsidRPr="009560BC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9560BC" w:rsidRDefault="00DA533B" w:rsidP="009560B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60B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7925"/>
        <w:gridCol w:w="1280"/>
      </w:tblGrid>
      <w:tr w:rsidR="00B01994" w:rsidRPr="00C85B30" w:rsidTr="00C85B30">
        <w:tc>
          <w:tcPr>
            <w:tcW w:w="330" w:type="pct"/>
            <w:shd w:val="clear" w:color="auto" w:fill="92D050"/>
          </w:tcPr>
          <w:p w:rsidR="000244DA" w:rsidRPr="00C85B30" w:rsidRDefault="000244D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21" w:type="pct"/>
            <w:shd w:val="clear" w:color="auto" w:fill="92D050"/>
            <w:vAlign w:val="center"/>
          </w:tcPr>
          <w:p w:rsidR="000244DA" w:rsidRPr="00C85B30" w:rsidRDefault="000244D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9" w:type="pct"/>
            <w:shd w:val="clear" w:color="auto" w:fill="92D050"/>
            <w:vAlign w:val="center"/>
          </w:tcPr>
          <w:p w:rsidR="000244DA" w:rsidRPr="00C85B30" w:rsidRDefault="000244D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4A37C4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4A37C4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4A37C4" w:rsidRPr="004A37C4" w:rsidRDefault="004A37C4" w:rsidP="004A3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4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4A37C4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091A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FE091A" w:rsidRPr="005804AF" w:rsidRDefault="00FE091A" w:rsidP="00FE09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7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безопасности, нормы </w:t>
            </w:r>
            <w:r w:rsidR="00491214" w:rsidRPr="005804AF">
              <w:rPr>
                <w:rFonts w:ascii="Times New Roman" w:hAnsi="Times New Roman"/>
                <w:sz w:val="24"/>
                <w:szCs w:val="24"/>
              </w:rPr>
              <w:t>СанПиН</w:t>
            </w:r>
            <w:r w:rsidRPr="005804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7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 порядке;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7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</w:t>
            </w:r>
            <w:r w:rsidR="00491214" w:rsidRPr="005804AF">
              <w:rPr>
                <w:rFonts w:ascii="Times New Roman" w:hAnsi="Times New Roman"/>
                <w:sz w:val="24"/>
                <w:szCs w:val="24"/>
              </w:rPr>
              <w:t xml:space="preserve"> и канцелярии;</w:t>
            </w:r>
          </w:p>
          <w:p w:rsidR="005804AF" w:rsidRPr="005804AF" w:rsidRDefault="00010DF5" w:rsidP="00FE091A">
            <w:pPr>
              <w:pStyle w:val="aff1"/>
              <w:numPr>
                <w:ilvl w:val="0"/>
                <w:numId w:val="37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основные воздействия следующих опасных и вредных производственных факторов</w:t>
            </w:r>
          </w:p>
          <w:p w:rsidR="00FE091A" w:rsidRPr="005804AF" w:rsidRDefault="005804AF" w:rsidP="005804AF">
            <w:pPr>
              <w:pStyle w:val="aff1"/>
              <w:numPr>
                <w:ilvl w:val="0"/>
                <w:numId w:val="37"/>
              </w:numPr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 xml:space="preserve">в случаях травмирования или недомогания, необходимо прекратить работу, известить об этом экспертов 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FE091A" w:rsidRPr="005804AF" w:rsidRDefault="00FE091A" w:rsidP="00FE09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и придерживаться инструкций производителя при использовании какого-либо оборудования;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осуществлять текущий уход за рабочим местом;</w:t>
            </w:r>
          </w:p>
          <w:p w:rsidR="00491214" w:rsidRPr="005804AF" w:rsidRDefault="00491214" w:rsidP="00491214">
            <w:pPr>
              <w:pStyle w:val="aff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 xml:space="preserve">применять безопасные методы и приёмы выполнения работ и оказания первой помощи </w:t>
            </w:r>
          </w:p>
          <w:p w:rsidR="00FE091A" w:rsidRPr="005804AF" w:rsidRDefault="00491214" w:rsidP="00491214">
            <w:pPr>
              <w:pStyle w:val="aff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Правильно применять средства индивидуальной и коллективной защиты.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4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4A37C4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4A37C4" w:rsidRPr="004A37C4" w:rsidRDefault="004A37C4" w:rsidP="004A3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4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4A37C4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E091A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FE091A" w:rsidRPr="005804AF" w:rsidRDefault="00FE091A" w:rsidP="00FE09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важность эффективного планирования и организации</w:t>
            </w:r>
          </w:p>
          <w:p w:rsidR="00FE091A" w:rsidRPr="005804AF" w:rsidRDefault="00FE091A" w:rsidP="00FE091A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работы, соблюдения сроков;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</w:t>
            </w:r>
          </w:p>
          <w:p w:rsidR="00FE091A" w:rsidRPr="005804AF" w:rsidRDefault="00FE091A" w:rsidP="00FE091A">
            <w:pPr>
              <w:pStyle w:val="aff1"/>
              <w:spacing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порядке;</w:t>
            </w:r>
          </w:p>
          <w:p w:rsidR="00FE091A" w:rsidRPr="005804AF" w:rsidRDefault="00FE091A" w:rsidP="005804AF">
            <w:pPr>
              <w:pStyle w:val="aff1"/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C85B30" w:rsidTr="004A37C4">
        <w:tc>
          <w:tcPr>
            <w:tcW w:w="330" w:type="pct"/>
            <w:shd w:val="clear" w:color="auto" w:fill="BFBFBF" w:themeFill="background1" w:themeFillShade="BF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FFFFFF" w:themeFill="background1"/>
            <w:vAlign w:val="center"/>
          </w:tcPr>
          <w:p w:rsidR="00FE091A" w:rsidRPr="005804AF" w:rsidRDefault="00FE091A" w:rsidP="00FE091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4A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планировать работу и расставлять приоритеты для обеспечения максимальной ее эффективности и соблюдения сроков;</w:t>
            </w:r>
          </w:p>
          <w:p w:rsidR="00FE091A" w:rsidRPr="005804AF" w:rsidRDefault="00FE091A" w:rsidP="00FE091A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место;</w:t>
            </w:r>
          </w:p>
          <w:p w:rsidR="005804AF" w:rsidRPr="005804AF" w:rsidRDefault="00FE091A" w:rsidP="005804AF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5804AF">
              <w:rPr>
                <w:rFonts w:ascii="Times New Roman" w:hAnsi="Times New Roman"/>
                <w:sz w:val="24"/>
                <w:szCs w:val="24"/>
              </w:rPr>
              <w:t xml:space="preserve">поддерживать чистоту и </w:t>
            </w:r>
            <w:r w:rsidR="00004D98" w:rsidRPr="005804AF">
              <w:rPr>
                <w:rFonts w:ascii="Times New Roman" w:hAnsi="Times New Roman"/>
                <w:sz w:val="24"/>
                <w:szCs w:val="24"/>
              </w:rPr>
              <w:t>необходимые условия</w:t>
            </w:r>
            <w:r w:rsidRPr="005804AF">
              <w:rPr>
                <w:rFonts w:ascii="Times New Roman" w:hAnsi="Times New Roman"/>
                <w:sz w:val="24"/>
                <w:szCs w:val="24"/>
              </w:rPr>
              <w:t xml:space="preserve"> на рабочем месте</w:t>
            </w:r>
            <w:r w:rsidR="005804AF" w:rsidRPr="005804AF">
              <w:rPr>
                <w:rFonts w:ascii="Times New Roman" w:hAnsi="Times New Roman"/>
                <w:sz w:val="24"/>
                <w:szCs w:val="24"/>
              </w:rPr>
              <w:t>;</w:t>
            </w:r>
            <w:r w:rsidR="005804AF" w:rsidRPr="005804A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5804AF" w:rsidRPr="005804AF" w:rsidRDefault="005804AF" w:rsidP="00CB762F">
            <w:pPr>
              <w:pStyle w:val="aff1"/>
              <w:numPr>
                <w:ilvl w:val="0"/>
                <w:numId w:val="38"/>
              </w:numPr>
              <w:ind w:left="3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 </w:t>
            </w:r>
          </w:p>
          <w:p w:rsidR="005804AF" w:rsidRPr="005804AF" w:rsidRDefault="005804AF" w:rsidP="00CB762F">
            <w:pPr>
              <w:pStyle w:val="aff1"/>
              <w:numPr>
                <w:ilvl w:val="0"/>
                <w:numId w:val="38"/>
              </w:numPr>
              <w:ind w:left="3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приступать к работе с влажными руками не класть предметы на оборудование и дисплей;</w:t>
            </w:r>
          </w:p>
          <w:p w:rsidR="005804AF" w:rsidRPr="005804AF" w:rsidRDefault="005804AF" w:rsidP="005804AF">
            <w:pPr>
              <w:pStyle w:val="aff1"/>
              <w:numPr>
                <w:ilvl w:val="0"/>
                <w:numId w:val="38"/>
              </w:numPr>
              <w:spacing w:line="240" w:lineRule="auto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580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не давить и не стучать по интерактивной панели, не прислоняться к ней.</w:t>
            </w:r>
          </w:p>
          <w:p w:rsidR="00FE091A" w:rsidRPr="005804AF" w:rsidRDefault="00FE091A" w:rsidP="00FE0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:rsidR="00FE091A" w:rsidRPr="00C85B30" w:rsidRDefault="00FE091A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73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764773" w:rsidRPr="00C85B30" w:rsidRDefault="003A08AF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764773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6ABF"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организации приема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Обстоятельства, которые ухудшают или могут ухудшить условия жизнедеятельности гражданина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учета граждан, признанных нуждающимися в социальном обслуживании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сфере социальной защиты и социального обслуживания населения; 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социальной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Порядок предоставления социальных услуг и порядок признания гражданина нуждающимся в социальном обслуживании, определения индивидуальной потребности в социальных услугах, составления индивидуальных программ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Цели, задачи и функции поставщиков социальных услуг; особенности социальной работы с различными гражданами - получателями социальных услуг и группами населения, а именно типологию проблем граждан, признанных нуждающимися; этические основы социальной работы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Методы диагностики причин, ухудшающих условия жизнедеятельности граждан, снижающих их возможности самостоятельно обеспечивать свои основные жизненные потребности, 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Виды, структуру и содержание документов, необходимых для оказания социальных услуг, социального сопровождения; основы документоведения, требования к отчетности, порядку и срокам ее предоставления в рамках своей компетенции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Вести первичный прием граждан, обратившихся в организацию социального обслуживания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Проводить индивидуальный опрос граждан и анализировать комплекс документов, подтверждающих индивидуальную нуждаемость граждан в социальных услугах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Организовывать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представляющее опасность для жизни и (или) здоровья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Взаимодействовать с гражданами, нуждающимися в социальном обслуживании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Устанавливать контакты с социальным окружением гражданина с целью уточнения условий его жизнедеятельности гражданина при предоставлении социальных услуг, указанных в индивидуальной программе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A03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Особенности планирования действий, выбор социальных услуг при организации предоставления социальных услуг, определенных индивидуальной программой предоставления социальных услуг;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Взаимодействие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основные направления политики социальной защиты населения на федеральном, региональном, муниципальном уровнях;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Основные типы проблем, возникающих у получателей социальных услуг;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Основные формы и виды социального обслуживания; основы составления индивидуальной программы предоставления социальных услуг; порядок предоставления социальных услуг; технологии социальной работы и условия их применения;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проектирования, прогнозирования и моделирования в социальной работе; экономические основы социальной работы; инфраструктуру предоставления социальных услуг в муниципальном образовании, ресурсы местного сообщества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Использовать технологии и методы социальной работы;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3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предоставления социальных услуг получателям социальных услуг, а также мер социальной поддержки и государственной социальной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Направление получателей социальных услуг в специализированные социальные организации (подразделения) и (или) к профильным специалистам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Социальное сопровождение граждан в процессе реализации индивидуальной программы предоставления социальных услуг и оказания мер социальной поддержки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Профилактическую работу по предупреждению появления и (или) развитию обстоятельств, ухудшающих или способных ухудшить условия жизнедеятельности граждан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Основные направления политики в сфере социальной защиты и социального обслуживания населения, порядок предоставления социальных услуг, перечень документов, необходимых для предоставления социальных услуг гражданам, обратившимся в социальные службы, правила ведения документации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Систему организаций социального обслуживания на региональном и муниципальном уровне, их цели, задачи и функции; цели,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получателей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услуг и решения его социальных проблем; регламент межведомственного взаимодействия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Правила оказания ситуационной помощи инвалидам различных категорий на объектах социальной, инженерной и транспортной инфраструктуры; основы геронтологии; технологии социальной работы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Подготавливать 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Обеспечивать организацию взаимодействия профильных специалистов в процессе предоставления социальных услуг гражданам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Использовать основы правовых знаний в сфере предоставления социальных услуг, мер социальной поддержки и государственной социальной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Принимать участие в пилотных проектах и использовать инновационные технологии социального обслуживания населения с учетом индивидуальных особенностей получателей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D3602E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6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содействия занятости граждан, обеспечения государственных гарантий получения образования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по вопросу получения статуса "ветеран боевых действий"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 субъектов Российской Федерации, муниципальные правовые акты органов местного самоуправления, регулирующие предоставление мер социальной поддержки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установления инвалидности и обеспечения ветеранов </w:t>
            </w: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боевых действий, лиц, принимавших участие в боевых действиях, членов семей погибших (умерших), являющихся инвалидами, современными техническими средствами реабилитации, протезами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реализации в субъектах Российской Федерации мероприятий, рекомендованных в индивидуальных программах реабилитации и </w:t>
            </w:r>
            <w:proofErr w:type="spellStart"/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инвалидов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Порядок адаптации жилого помещения под индивидуальные потребности инвалида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Порядок организации оказания психолого-психотерапевтической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построения коммуникации с человеком, страдающим посттравматическим психическим расстройством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rPr>
          <w:trHeight w:val="1562"/>
        </w:trPr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Выстраивать индивидуальный подход в организации работы с ветеранами боевых действий, лицами, принимавшими участие в боевых действиях, членами семей погибших (умерших)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Вести прием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Взаимодействовать со специалистами, организациями и сообществами при предоставлении ветеранам боевых действий, лицам, принимавшим участие в боевых действиях, членам семей погибших 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Содействовать участию ветеранов боевых 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мероприятиях по увековечению памяти ветеранов и их подвигов, вовлечению в культурно-досуговую деятельность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и направлять ветеранам боевых действий, лицам, принимавшим участие в боевых действиях, членам семей погибших (умерших), в том числе посредством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выезды по месту жительства (фактического пребывания) ветеранов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 установку мобильного приложения ветеранам боевых действий, лицам, принимавшим участие в боевых действиях, членам семей погибших (умерших) для коммуникации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мониторинг предоставления мер поддержки, оказания социальных и иных услуг, помощи ветеранам боевых </w:t>
            </w: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действий, лицам, принимавшим участие в боевых действиях, членам семей погибших (умерших)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профессиональную этику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-Использовать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"Интернет"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требованиями к отчетности в бумажном и электронном виде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основы правовых знаний в сфере предоставления мер поддержки, социальных и иных услуг, помощи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конфиденциальность личной информации о ветеране боевых действий, лице, принимавшем участие в боевых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D86B4C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Плановые цели подразделения и отдельных специалистов; ресурсы, необходимые для реализации социального обслуживания, ответственных исполнителей; объем работы сотрудников подразделения и распределение заданий между ними; группы специалистов для междисциплинарного и (или) межведомственного взаимодействия при социальном обслуживании граждан;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Особенности содействия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Координацию деятельности сотрудников подразделения по выполнению поставленных задач;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4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выполнения плановых целей и деятельности специалистов;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Анализ работы отдельных специалистов и подразделения в целом;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для обеспечения принятия коллективных решений по осуществлению социального обслуживания граждан;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Особенности мероприятий по повышению квалификации сотрудников подразделения;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Технологии наставничества, направленные на оказание помощи новым сотрудникам подразделения, включая их адаптацию на рабочем месте;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Организацию мероприятий по профилактике профессионального выгорания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социального сопровождения; цели, принципы и технологии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персоналом; технологии социальной работы; основы конфликтологии и медиации; основы документоведения, требования к отчетности, порядку и срокам ее предоставления в рамках своей компетенции; принципы, виды, методы и технологии наставничества; этические основы социальной работы и делового общения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Планировать работу подразделения;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Формулировать цели, задачи, определять обязанности и трудовые действия сотрудников подразделения;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Организовывать социальное сопровождение граждан, признанных нуждающимися в социальном обслуживании;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инструменты межличностных коммуникаций;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Регулировать конфликты, применять навыки медиации в социальной сфере;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инструментарий выявления возможностей и потребностей конкретного сотрудника с целью определения его профессионального потенциала;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Реализовывать технологии наставничества, выстраивать модели его организации и проведения в соответствии с изменяющимися потребностями сотрудников;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D86B4C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Организацию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Организацию контроля за соблюдением стандартов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Особенности контроля выполнения индивидуальной программы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Взаимодействие с получателями социальных услуг, организацию личного приема граждан по вопросам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Мониторинг удовлетворенности граждан качеством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Основы контроля качества предоставления социальных услуг, порядка предоставления социальных услуг, методы обработки данных эмпирических исследований, предоставления их в числовой, табличной, графической форме, принципы и правила проведения опросов населения и экспертных опросов, направленных на выявление качества и эффективности предоставляемых услуг и мер социальной поддержки, основы стандартизации и количественной оценки качества предоставления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Производить личный прием граждан по вопросам предоставления социальных услуг в организации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методы и технологии для оценки качества, результативности и эффективности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различные виды опросов населения и экспертных опросов, направленных на оценку качества и эффективности предоставляемых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Организовывать проведение мониторинга удовлетворенности граждан качеством предоставления социальных услуг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D86B4C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A03FE6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Особенности проведения мониторинга социальной ситуации на территории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Особенности составления прогноза развития социального обслуживания на территории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Разработку и экспертизу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проектирования, прогнозирования и моделирования в социальной работе; основы организации профессиональной деятельности, контроля качества предоставления социальных услуг; 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цель мониторинга социальной ситуации на территории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Использовать различные методы мониторинга социальной ситуации;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Использовать результаты мониторинга в определении целей социального обслуживания населения;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Выявлять и анализировать информацию о социальной ситуации на территории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Оценивать достоверность информации, полученной в ходе мониторинга;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социальные проекты (программы) по реализации социального обслуживания граждан и профилактике обстоятельств, обусловливающих нуждаемость в социальном </w:t>
            </w: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обслуживании;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Анализировать применение существующих социальных технологий для реализации социального проекта (программы);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Применять в своей деятельности инновационные технологии социального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Выполнять экспертизу социального проекта (программы);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методы и средства получения, хранения, переработки информации, предоставления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Интернет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85B30" w:rsidRPr="00C85B30" w:rsidRDefault="005804AF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D86B4C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3F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5B3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Особенности использования средств массовой информации, сайтов, 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работы по продвижению и популяризации позитивного опыта организации социального обслуживания и социальной поддержки населения путем подготовки материалов для средств массовой информации и взаимодействия с общественностью;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Предложения по рационализации и модернизации технологий социального обслуживания, повышению их эффективности на индивидуальном, групповом и средовом уровнях;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региональные особенности социального развития, социальной структуры населения на вверенном участке работы (на территории, в социальной группе, в трудовом коллективе);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Технологии социального обслуживания населения, применяемые в России и за рубежом; основные направления политики социальной защиты населения; сущность и технологии социальной рекламы, ее функции и значение в обществе; си психологические основы работы с информацией; основы деятельности общественных объединений, организаций социальной направленности и взаимодействия с ними; основы фандрайзинга; экономические основы социальной работы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C85B30" w:rsidTr="00C85B30">
        <w:tc>
          <w:tcPr>
            <w:tcW w:w="330" w:type="pct"/>
            <w:vMerge/>
            <w:shd w:val="clear" w:color="auto" w:fill="BFBFBF" w:themeFill="background1" w:themeFillShade="BF"/>
          </w:tcPr>
          <w:p w:rsidR="00C85B30" w:rsidRPr="00C85B30" w:rsidRDefault="00C85B30" w:rsidP="00C85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1" w:type="pct"/>
            <w:shd w:val="clear" w:color="auto" w:fill="auto"/>
            <w:vAlign w:val="center"/>
          </w:tcPr>
          <w:p w:rsidR="00C85B30" w:rsidRPr="00C85B30" w:rsidRDefault="00C85B30" w:rsidP="00C85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B3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Обобщать и внедрять передовой российский опыт реализации социального обслуживания и мер социальной поддержки;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Производить сравнительный анализ российского и зарубежного опыта социальной работы, социального обслуживания и социальной поддержки населения и условия его применения;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Адаптировать эффективный зарубежный опыт к российским </w:t>
            </w:r>
            <w:r w:rsidRPr="00C85B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условиям его применения;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Использовать данные социологических опросов, статистики, анализировать отчетность организаций;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Подготавливать информацию в виде буклетов, брошюр, статей, сообщений для средств массовой информации и Интернет-ресурсов организаций (сайтов, социальных сетей);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 xml:space="preserve">Разрабатывать методические и информационные материалы по актуальным социальным проблемам населения, социальным рискам и угрозам, способным негативно повлиять на условия жизнедеятельности граждан, а также о видах, формах и субъектах предоставления социальных услуг; </w:t>
            </w:r>
          </w:p>
          <w:p w:rsidR="00C85B30" w:rsidRPr="00C85B30" w:rsidRDefault="00C85B30" w:rsidP="00C85B30">
            <w:pPr>
              <w:pStyle w:val="af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30">
              <w:rPr>
                <w:rFonts w:ascii="Times New Roman" w:hAnsi="Times New Roman"/>
                <w:sz w:val="24"/>
                <w:szCs w:val="24"/>
              </w:rPr>
              <w:t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числе, с целью привлечения ресурсов для социального обслуживания граждан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C85B30" w:rsidRPr="00C85B30" w:rsidRDefault="00C85B30" w:rsidP="00C8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3129" w:rsidRPr="00C85B30" w:rsidRDefault="00293129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</w:p>
    <w:p w:rsidR="00D3602E" w:rsidRDefault="00D3602E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</w:p>
    <w:p w:rsidR="007274B8" w:rsidRPr="00C85B30" w:rsidRDefault="00DA533B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r w:rsidRPr="00C85B30">
        <w:rPr>
          <w:rFonts w:ascii="Times New Roman" w:hAnsi="Times New Roman"/>
          <w:color w:val="000000"/>
          <w:szCs w:val="28"/>
          <w:lang w:val="ru-RU"/>
        </w:rPr>
        <w:t>1.3.</w:t>
      </w:r>
      <w:r w:rsidR="00C85B30">
        <w:rPr>
          <w:rFonts w:ascii="Times New Roman" w:hAnsi="Times New Roman"/>
          <w:color w:val="000000"/>
          <w:szCs w:val="28"/>
          <w:lang w:val="ru-RU"/>
        </w:rPr>
        <w:t xml:space="preserve"> Т</w:t>
      </w:r>
      <w:r w:rsidR="00C85B30" w:rsidRPr="00C85B30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</w:p>
    <w:p w:rsidR="00DE39D8" w:rsidRDefault="00AE6AB7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85B3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C85B30">
        <w:rPr>
          <w:rFonts w:ascii="Times New Roman" w:hAnsi="Times New Roman"/>
          <w:sz w:val="28"/>
          <w:szCs w:val="28"/>
          <w:lang w:val="ru-RU"/>
        </w:rPr>
        <w:t> </w:t>
      </w:r>
      <w:r w:rsidRPr="00C85B30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C85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C85B30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.</w:t>
      </w:r>
    </w:p>
    <w:p w:rsidR="00D3602E" w:rsidRDefault="00D3602E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3602E" w:rsidRDefault="00D3602E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3602E" w:rsidRDefault="00D3602E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3602E" w:rsidRDefault="00D3602E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3602E" w:rsidRDefault="00D3602E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9472F" w:rsidRDefault="0079472F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9472F" w:rsidRDefault="0079472F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9472F" w:rsidRPr="00C85B30" w:rsidRDefault="0079472F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C56A9B" w:rsidRPr="00C85B30" w:rsidRDefault="00C85B30" w:rsidP="00C85B30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C85B30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Таблица </w:t>
      </w:r>
      <w:r w:rsidR="00640E46" w:rsidRPr="00C85B30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C85B30" w:rsidRDefault="007274B8" w:rsidP="00C85B30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85B3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222" w:type="pct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616"/>
        <w:gridCol w:w="1416"/>
        <w:gridCol w:w="1416"/>
        <w:gridCol w:w="1272"/>
        <w:gridCol w:w="1274"/>
        <w:gridCol w:w="1470"/>
        <w:gridCol w:w="1406"/>
      </w:tblGrid>
      <w:tr w:rsidR="00C85B30" w:rsidRPr="00C85B30" w:rsidTr="00F14FEC">
        <w:trPr>
          <w:trHeight w:val="1538"/>
          <w:jc w:val="center"/>
        </w:trPr>
        <w:tc>
          <w:tcPr>
            <w:tcW w:w="4317" w:type="pct"/>
            <w:gridSpan w:val="7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Критерий/Модуль</w:t>
            </w:r>
          </w:p>
        </w:tc>
        <w:tc>
          <w:tcPr>
            <w:tcW w:w="683" w:type="pct"/>
            <w:vMerge w:val="restar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раздел ТРЕБОВАНИЙ КОМПЕТЕНЦИИ</w:t>
            </w:r>
          </w:p>
        </w:tc>
      </w:tr>
      <w:tr w:rsidR="00C85B30" w:rsidRPr="00C85B30" w:rsidTr="00F14FEC">
        <w:trPr>
          <w:trHeight w:val="50"/>
          <w:jc w:val="center"/>
        </w:trPr>
        <w:tc>
          <w:tcPr>
            <w:tcW w:w="691" w:type="pct"/>
            <w:vMerge w:val="restar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Разделы ТРЕБОВАНИЙ КОМПЕТЕНЦИИ</w:t>
            </w:r>
          </w:p>
        </w:tc>
        <w:tc>
          <w:tcPr>
            <w:tcW w:w="299" w:type="pc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8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61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619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4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683" w:type="pct"/>
            <w:vMerge/>
            <w:shd w:val="clear" w:color="auto" w:fill="00B050"/>
            <w:vAlign w:val="center"/>
          </w:tcPr>
          <w:p w:rsidR="00C85B30" w:rsidRPr="00C85B30" w:rsidRDefault="00C85B30" w:rsidP="00E86AEE">
            <w:pPr>
              <w:ind w:right="172" w:hanging="176"/>
              <w:jc w:val="both"/>
              <w:rPr>
                <w:b/>
                <w:sz w:val="26"/>
                <w:szCs w:val="26"/>
              </w:rPr>
            </w:pP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1F1AB2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pct"/>
            <w:vAlign w:val="center"/>
          </w:tcPr>
          <w:p w:rsidR="001F1AB2" w:rsidRPr="00C85B30" w:rsidRDefault="00981F0E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,00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9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</w:t>
            </w:r>
          </w:p>
        </w:tc>
      </w:tr>
      <w:tr w:rsidR="00F42C5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42C58" w:rsidRPr="00C85B30" w:rsidRDefault="00F42C58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42C58" w:rsidRPr="00F42C58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42C58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6,00</w:t>
            </w:r>
          </w:p>
        </w:tc>
      </w:tr>
      <w:tr w:rsidR="00F42C5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42C58" w:rsidRPr="00C85B30" w:rsidRDefault="00F42C58" w:rsidP="00F42C5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42C58" w:rsidRPr="00F42C58" w:rsidRDefault="00F42C58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88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18" w:type="pct"/>
            <w:vAlign w:val="center"/>
          </w:tcPr>
          <w:p w:rsidR="00F42C58" w:rsidRPr="00C85B30" w:rsidRDefault="00566855" w:rsidP="00F42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42C58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714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42C58" w:rsidRPr="00D86B4C" w:rsidRDefault="00566855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F42C58" w:rsidRPr="00D86B4C">
              <w:rPr>
                <w:b/>
                <w:sz w:val="26"/>
                <w:szCs w:val="26"/>
              </w:rPr>
              <w:t>,50</w:t>
            </w:r>
          </w:p>
        </w:tc>
      </w:tr>
      <w:tr w:rsidR="00F14FEC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8" w:type="pct"/>
            <w:vAlign w:val="center"/>
          </w:tcPr>
          <w:p w:rsidR="00F14FEC" w:rsidRPr="00C85B30" w:rsidRDefault="003C4A4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</w:t>
            </w:r>
            <w:r w:rsidR="00F14FEC" w:rsidRPr="00C85B30">
              <w:rPr>
                <w:sz w:val="26"/>
                <w:szCs w:val="26"/>
              </w:rPr>
              <w:t>,50</w:t>
            </w:r>
          </w:p>
        </w:tc>
        <w:tc>
          <w:tcPr>
            <w:tcW w:w="688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11</w:t>
            </w:r>
            <w:r w:rsidR="00196ABF" w:rsidRPr="00D86B4C">
              <w:rPr>
                <w:b/>
                <w:sz w:val="26"/>
                <w:szCs w:val="26"/>
              </w:rPr>
              <w:t>,</w:t>
            </w:r>
            <w:r w:rsidR="00566855">
              <w:rPr>
                <w:b/>
                <w:sz w:val="26"/>
                <w:szCs w:val="26"/>
              </w:rPr>
              <w:t>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4,00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</w:t>
            </w:r>
          </w:p>
        </w:tc>
      </w:tr>
      <w:tr w:rsidR="002F39C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2F39C8" w:rsidRPr="00C85B30" w:rsidRDefault="002F39C8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2F39C8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8" w:type="pct"/>
            <w:vAlign w:val="center"/>
          </w:tcPr>
          <w:p w:rsidR="002F39C8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:rsidR="002F39C8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2F39C8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2F39C8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293129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8" w:type="pct"/>
            <w:vAlign w:val="center"/>
          </w:tcPr>
          <w:p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8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:rsidR="001F1AB2" w:rsidRPr="00C85B30" w:rsidRDefault="00293129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293129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6</w:t>
            </w:r>
            <w:r w:rsidR="00196ABF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F14FEC" w:rsidRPr="00C85B30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3,00</w:t>
            </w:r>
          </w:p>
        </w:tc>
        <w:tc>
          <w:tcPr>
            <w:tcW w:w="619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8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0,50</w:t>
            </w:r>
          </w:p>
        </w:tc>
        <w:tc>
          <w:tcPr>
            <w:tcW w:w="688" w:type="pct"/>
            <w:vAlign w:val="center"/>
          </w:tcPr>
          <w:p w:rsidR="00F14FEC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6,5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618" w:type="pct"/>
            <w:vAlign w:val="center"/>
          </w:tcPr>
          <w:p w:rsidR="00F14FEC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0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714" w:type="pct"/>
          </w:tcPr>
          <w:p w:rsidR="00F14FEC" w:rsidRPr="00C85B30" w:rsidRDefault="009B417A" w:rsidP="00F14FEC">
            <w:pPr>
              <w:jc w:val="center"/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</w:t>
            </w:r>
            <w:r w:rsidR="00566855">
              <w:rPr>
                <w:b/>
                <w:sz w:val="26"/>
                <w:szCs w:val="26"/>
              </w:rPr>
              <w:t>0</w:t>
            </w:r>
            <w:r w:rsidR="00196ABF" w:rsidRPr="00D86B4C">
              <w:rPr>
                <w:b/>
                <w:sz w:val="26"/>
                <w:szCs w:val="26"/>
              </w:rPr>
              <w:t>,5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990" w:type="pct"/>
            <w:gridSpan w:val="2"/>
            <w:shd w:val="clear" w:color="auto" w:fill="00B050"/>
            <w:vAlign w:val="center"/>
          </w:tcPr>
          <w:p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критерий/</w:t>
            </w:r>
            <w:r w:rsidR="00C85B30" w:rsidRPr="00C85B30">
              <w:rPr>
                <w:b/>
                <w:sz w:val="26"/>
                <w:szCs w:val="26"/>
              </w:rPr>
              <w:t xml:space="preserve"> </w:t>
            </w:r>
            <w:r w:rsidRPr="00C85B30">
              <w:rPr>
                <w:b/>
                <w:sz w:val="26"/>
                <w:szCs w:val="26"/>
              </w:rPr>
              <w:t>модуль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30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:rsidR="001F1AB2" w:rsidRPr="00D86B4C" w:rsidRDefault="002F39C8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12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2F39C8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</w:t>
            </w:r>
            <w:r w:rsidR="002F39C8" w:rsidRPr="00D86B4C">
              <w:rPr>
                <w:b/>
                <w:sz w:val="26"/>
                <w:szCs w:val="26"/>
              </w:rPr>
              <w:t>8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C85B30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100</w:t>
            </w:r>
            <w:r w:rsidR="00C85B30">
              <w:rPr>
                <w:b/>
                <w:sz w:val="26"/>
                <w:szCs w:val="26"/>
              </w:rPr>
              <w:t>,00</w:t>
            </w:r>
          </w:p>
        </w:tc>
      </w:tr>
    </w:tbl>
    <w:p w:rsidR="009715DA" w:rsidRPr="00C85B30" w:rsidRDefault="009715DA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C85B30" w:rsidRDefault="00DA533B" w:rsidP="00C85B3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124422969"/>
      <w:r w:rsidRPr="00C85B30">
        <w:rPr>
          <w:rFonts w:ascii="Times New Roman" w:hAnsi="Times New Roman"/>
          <w:szCs w:val="28"/>
        </w:rPr>
        <w:t>1.4</w:t>
      </w:r>
      <w:r w:rsidR="00073E37" w:rsidRPr="00C85B30">
        <w:rPr>
          <w:rFonts w:ascii="Times New Roman" w:hAnsi="Times New Roman"/>
          <w:szCs w:val="28"/>
        </w:rPr>
        <w:t>.</w:t>
      </w:r>
      <w:r w:rsidR="00C85B30">
        <w:rPr>
          <w:rFonts w:ascii="Times New Roman" w:hAnsi="Times New Roman"/>
          <w:szCs w:val="28"/>
        </w:rPr>
        <w:t xml:space="preserve"> С</w:t>
      </w:r>
      <w:r w:rsidR="00C85B30" w:rsidRPr="00C85B30">
        <w:rPr>
          <w:rFonts w:ascii="Times New Roman" w:hAnsi="Times New Roman"/>
          <w:szCs w:val="28"/>
        </w:rPr>
        <w:t>пецификация оценки компетенции</w:t>
      </w:r>
      <w:bookmarkEnd w:id="4"/>
    </w:p>
    <w:p w:rsidR="00DE39D8" w:rsidRDefault="00DE39D8" w:rsidP="00C85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C85B30">
        <w:rPr>
          <w:rFonts w:ascii="Times New Roman" w:hAnsi="Times New Roman" w:cs="Times New Roman"/>
          <w:sz w:val="28"/>
          <w:szCs w:val="28"/>
        </w:rPr>
        <w:t>К</w:t>
      </w:r>
      <w:r w:rsidRPr="00C85B3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C85B30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C85B30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640E46" w:rsidRPr="00C85B30">
        <w:rPr>
          <w:rFonts w:ascii="Times New Roman" w:hAnsi="Times New Roman" w:cs="Times New Roman"/>
          <w:sz w:val="28"/>
          <w:szCs w:val="28"/>
        </w:rPr>
        <w:t>3</w:t>
      </w:r>
      <w:r w:rsidR="00C85B30">
        <w:rPr>
          <w:rFonts w:ascii="Times New Roman" w:hAnsi="Times New Roman" w:cs="Times New Roman"/>
          <w:sz w:val="28"/>
          <w:szCs w:val="28"/>
        </w:rPr>
        <w:t>.</w:t>
      </w:r>
    </w:p>
    <w:p w:rsidR="00640E46" w:rsidRPr="00C85B30" w:rsidRDefault="00C85B30" w:rsidP="00C85B3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85B30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C85B30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C85B30" w:rsidRDefault="00640E46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32856" w:rsidTr="00437D28">
        <w:tc>
          <w:tcPr>
            <w:tcW w:w="1851" w:type="pct"/>
            <w:gridSpan w:val="2"/>
            <w:shd w:val="clear" w:color="auto" w:fill="92D050"/>
          </w:tcPr>
          <w:p w:rsidR="008761F3" w:rsidRPr="00932856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932856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Методика проверки навыков </w:t>
            </w:r>
            <w:r w:rsidR="00C21E3A" w:rsidRPr="00932856">
              <w:rPr>
                <w:b/>
                <w:sz w:val="26"/>
                <w:szCs w:val="26"/>
              </w:rPr>
              <w:t>в критерии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174A8" w:rsidRDefault="00C174A8" w:rsidP="00C174A8">
            <w:pPr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Выявление потребности в социальных услугах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932856">
              <w:rPr>
                <w:b/>
                <w:sz w:val="26"/>
                <w:szCs w:val="26"/>
              </w:rPr>
              <w:t>Ведение профессиональной документации</w:t>
            </w:r>
            <w:r>
              <w:rPr>
                <w:b/>
                <w:sz w:val="26"/>
                <w:szCs w:val="26"/>
              </w:rPr>
              <w:t>.</w:t>
            </w:r>
          </w:p>
          <w:p w:rsidR="00C174A8" w:rsidRPr="00932856" w:rsidRDefault="00C174A8" w:rsidP="00C174A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49" w:type="pct"/>
            <w:shd w:val="clear" w:color="auto" w:fill="auto"/>
          </w:tcPr>
          <w:p w:rsidR="00C174A8" w:rsidRPr="001A4A9E" w:rsidRDefault="007E49F7" w:rsidP="002F39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C174A8">
              <w:rPr>
                <w:sz w:val="26"/>
                <w:szCs w:val="26"/>
              </w:rPr>
              <w:t xml:space="preserve">В данном критерии оценивается </w:t>
            </w:r>
            <w:r w:rsidR="00B01994" w:rsidRPr="00C174A8">
              <w:rPr>
                <w:sz w:val="26"/>
                <w:szCs w:val="26"/>
              </w:rPr>
              <w:t xml:space="preserve">описание ситуации (определение социального статуса, гендерных и возрастных особенностей, перечень социальных услуг с их обоснованием, </w:t>
            </w:r>
            <w:r w:rsidR="009A4474" w:rsidRPr="00C174A8">
              <w:rPr>
                <w:sz w:val="26"/>
                <w:szCs w:val="26"/>
              </w:rPr>
              <w:t>наличие государственных учреждений и социальных партнеров для решения ситуаций</w:t>
            </w:r>
            <w:r w:rsidR="00EF71D7" w:rsidRPr="00C174A8">
              <w:rPr>
                <w:sz w:val="26"/>
                <w:szCs w:val="26"/>
              </w:rPr>
              <w:t>.) Оценивается</w:t>
            </w:r>
            <w:r w:rsidR="00BE6BEE" w:rsidRPr="00C174A8">
              <w:rPr>
                <w:sz w:val="26"/>
                <w:szCs w:val="26"/>
              </w:rPr>
              <w:t xml:space="preserve"> достоверность и полнота оформления </w:t>
            </w:r>
            <w:r w:rsidR="002F39C8">
              <w:rPr>
                <w:sz w:val="26"/>
                <w:szCs w:val="26"/>
              </w:rPr>
              <w:t>письма – обращения, заполнение документов (Акт и ИППСУ)</w:t>
            </w:r>
          </w:p>
        </w:tc>
      </w:tr>
      <w:tr w:rsidR="00C174A8" w:rsidRPr="00932856" w:rsidTr="002F39C8">
        <w:trPr>
          <w:trHeight w:val="1224"/>
        </w:trPr>
        <w:tc>
          <w:tcPr>
            <w:tcW w:w="282" w:type="pct"/>
            <w:shd w:val="clear" w:color="auto" w:fill="00B050"/>
          </w:tcPr>
          <w:p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C174A8" w:rsidRPr="00932856" w:rsidRDefault="00C174A8" w:rsidP="007B52DC">
            <w:pPr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Проведение мероприятия профилактической направленности</w:t>
            </w:r>
          </w:p>
        </w:tc>
        <w:tc>
          <w:tcPr>
            <w:tcW w:w="3149" w:type="pct"/>
            <w:shd w:val="clear" w:color="auto" w:fill="auto"/>
          </w:tcPr>
          <w:p w:rsidR="00C174A8" w:rsidRPr="00932856" w:rsidRDefault="00C174A8" w:rsidP="002F39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07A">
              <w:rPr>
                <w:sz w:val="26"/>
                <w:szCs w:val="26"/>
              </w:rPr>
              <w:t>В данном критерии оценивается сценарий мероприятия, оформленный по требованиям</w:t>
            </w:r>
            <w:r>
              <w:rPr>
                <w:sz w:val="26"/>
                <w:szCs w:val="26"/>
              </w:rPr>
              <w:t xml:space="preserve"> и </w:t>
            </w:r>
            <w:r w:rsidRPr="0000707A">
              <w:rPr>
                <w:sz w:val="26"/>
                <w:szCs w:val="26"/>
              </w:rPr>
              <w:t>очное проведение мероприятия,</w:t>
            </w:r>
            <w:r>
              <w:rPr>
                <w:sz w:val="26"/>
                <w:szCs w:val="26"/>
              </w:rPr>
              <w:t xml:space="preserve"> и его анализ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EC0845" w:rsidRPr="00EC0845" w:rsidRDefault="003A3D72" w:rsidP="005007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2856">
              <w:rPr>
                <w:b/>
                <w:sz w:val="26"/>
                <w:szCs w:val="26"/>
              </w:rPr>
              <w:t xml:space="preserve">Профилактика обстоятельств, </w:t>
            </w:r>
            <w:r w:rsidRPr="00932856">
              <w:rPr>
                <w:b/>
                <w:sz w:val="26"/>
                <w:szCs w:val="26"/>
              </w:rPr>
              <w:lastRenderedPageBreak/>
              <w:t>обусловливающих нуждаемость в социальном обслуживании</w:t>
            </w:r>
            <w:r w:rsidR="003661CA" w:rsidRPr="00932856">
              <w:rPr>
                <w:b/>
                <w:sz w:val="26"/>
                <w:szCs w:val="26"/>
              </w:rPr>
              <w:fldChar w:fldCharType="begin"/>
            </w:r>
            <w:r w:rsidR="005007ED" w:rsidRPr="00932856">
              <w:rPr>
                <w:b/>
                <w:sz w:val="26"/>
                <w:szCs w:val="26"/>
              </w:rPr>
              <w:instrText xml:space="preserve"> LINK </w:instrText>
            </w:r>
            <w:r w:rsidR="00EC0845">
              <w:rPr>
                <w:b/>
                <w:sz w:val="26"/>
                <w:szCs w:val="26"/>
              </w:rPr>
              <w:instrText xml:space="preserve">Excel.Sheet.12 "C:\\Users\\N.Shatunova\\Downloads\\критерии СР (1).xlsx" "Критерии оценки!R50C2" </w:instrText>
            </w:r>
            <w:r w:rsidR="005007ED" w:rsidRPr="00932856">
              <w:rPr>
                <w:b/>
                <w:sz w:val="26"/>
                <w:szCs w:val="26"/>
              </w:rPr>
              <w:instrText xml:space="preserve">\a \f 5 \h </w:instrText>
            </w:r>
            <w:r w:rsidR="00932856" w:rsidRPr="00932856">
              <w:rPr>
                <w:b/>
                <w:sz w:val="26"/>
                <w:szCs w:val="26"/>
              </w:rPr>
              <w:instrText xml:space="preserve"> \* MERGEFORMAT </w:instrText>
            </w:r>
            <w:r w:rsidR="003661CA" w:rsidRPr="00932856">
              <w:rPr>
                <w:b/>
                <w:sz w:val="26"/>
                <w:szCs w:val="26"/>
              </w:rPr>
              <w:fldChar w:fldCharType="separate"/>
            </w:r>
          </w:p>
          <w:p w:rsidR="00EC0845" w:rsidRPr="00EC0845" w:rsidRDefault="00EC0845" w:rsidP="00EC08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0845">
              <w:rPr>
                <w:sz w:val="26"/>
                <w:szCs w:val="26"/>
              </w:rPr>
              <w:t> </w:t>
            </w:r>
          </w:p>
          <w:p w:rsidR="00437D28" w:rsidRPr="00932856" w:rsidRDefault="003661CA" w:rsidP="00500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3149" w:type="pct"/>
            <w:shd w:val="clear" w:color="auto" w:fill="auto"/>
          </w:tcPr>
          <w:p w:rsidR="00620573" w:rsidRPr="00932856" w:rsidRDefault="005007ED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lastRenderedPageBreak/>
              <w:t xml:space="preserve">В данном </w:t>
            </w:r>
            <w:r w:rsidRPr="0000707A">
              <w:rPr>
                <w:sz w:val="26"/>
                <w:szCs w:val="26"/>
              </w:rPr>
              <w:t xml:space="preserve">критерии </w:t>
            </w:r>
            <w:r w:rsidR="000A7013" w:rsidRPr="0000707A">
              <w:rPr>
                <w:sz w:val="26"/>
                <w:szCs w:val="26"/>
              </w:rPr>
              <w:t>оценивается: проект</w:t>
            </w:r>
            <w:r w:rsidR="0000707A" w:rsidRPr="0000707A">
              <w:rPr>
                <w:sz w:val="26"/>
                <w:szCs w:val="26"/>
              </w:rPr>
              <w:t xml:space="preserve">, оформленный по заявленным требованиям                    </w:t>
            </w:r>
            <w:proofErr w:type="gramStart"/>
            <w:r w:rsidR="0000707A" w:rsidRPr="0000707A">
              <w:rPr>
                <w:sz w:val="26"/>
                <w:szCs w:val="26"/>
              </w:rPr>
              <w:t xml:space="preserve">   </w:t>
            </w:r>
            <w:r w:rsidR="0000707A" w:rsidRPr="0000707A">
              <w:rPr>
                <w:sz w:val="26"/>
                <w:szCs w:val="26"/>
              </w:rPr>
              <w:lastRenderedPageBreak/>
              <w:t>(</w:t>
            </w:r>
            <w:proofErr w:type="gramEnd"/>
            <w:r w:rsidR="0000707A" w:rsidRPr="0000707A">
              <w:rPr>
                <w:sz w:val="26"/>
                <w:szCs w:val="26"/>
              </w:rPr>
              <w:t>наличие, актуальность и социальная значимость проекта, организация  межведомственного взаимодействия, соответствие  мероприятий поставленным  целевым установкам),очная защита проекта,  презентация проекта</w:t>
            </w:r>
            <w:r w:rsidR="00C174A8">
              <w:rPr>
                <w:sz w:val="26"/>
                <w:szCs w:val="26"/>
              </w:rPr>
              <w:t>, ответы на вопросы.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437D28" w:rsidRPr="00932856" w:rsidRDefault="003A3D72" w:rsidP="00437D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2B19">
              <w:rPr>
                <w:b/>
                <w:color w:val="000000"/>
                <w:sz w:val="26"/>
                <w:szCs w:val="26"/>
              </w:rPr>
              <w:t>Проведение консультирования получателя социальных услуг</w:t>
            </w:r>
          </w:p>
        </w:tc>
        <w:tc>
          <w:tcPr>
            <w:tcW w:w="3149" w:type="pct"/>
            <w:shd w:val="clear" w:color="auto" w:fill="auto"/>
          </w:tcPr>
          <w:p w:rsidR="00620573" w:rsidRPr="00932856" w:rsidRDefault="00654856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t xml:space="preserve">В данном критерии </w:t>
            </w:r>
            <w:r w:rsidR="00EF71D7" w:rsidRPr="0000707A">
              <w:rPr>
                <w:sz w:val="26"/>
                <w:szCs w:val="26"/>
              </w:rPr>
              <w:t>оценивается: порядок</w:t>
            </w:r>
            <w:r w:rsidR="0000707A" w:rsidRPr="0000707A">
              <w:rPr>
                <w:sz w:val="26"/>
                <w:szCs w:val="26"/>
              </w:rPr>
              <w:t xml:space="preserve"> и алгоритм проведения очного консультирования </w:t>
            </w:r>
            <w:r w:rsidR="0000707A">
              <w:rPr>
                <w:sz w:val="26"/>
                <w:szCs w:val="26"/>
              </w:rPr>
              <w:t>(</w:t>
            </w:r>
            <w:r w:rsidR="00BE6BEE" w:rsidRPr="00932856">
              <w:rPr>
                <w:sz w:val="26"/>
                <w:szCs w:val="26"/>
              </w:rPr>
              <w:t>применение технологий и алгоритма консультирования, привлечение организаций</w:t>
            </w:r>
            <w:r w:rsidRPr="00932856">
              <w:rPr>
                <w:sz w:val="26"/>
                <w:szCs w:val="26"/>
              </w:rPr>
              <w:t xml:space="preserve"> для решения проблемной ситуа</w:t>
            </w:r>
            <w:r w:rsidR="0000707A">
              <w:rPr>
                <w:sz w:val="26"/>
                <w:szCs w:val="26"/>
              </w:rPr>
              <w:t>ции получателя социальных услуг).</w:t>
            </w:r>
          </w:p>
        </w:tc>
      </w:tr>
      <w:tr w:rsidR="00C174A8" w:rsidRPr="00932856" w:rsidTr="00620573">
        <w:trPr>
          <w:trHeight w:val="273"/>
        </w:trPr>
        <w:tc>
          <w:tcPr>
            <w:tcW w:w="282" w:type="pct"/>
            <w:shd w:val="clear" w:color="auto" w:fill="00B050"/>
          </w:tcPr>
          <w:p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C174A8" w:rsidRPr="00932856" w:rsidRDefault="00C174A8" w:rsidP="00D86B4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Разработка плана мероприятий с </w:t>
            </w:r>
            <w:r w:rsidR="00D86B4C">
              <w:rPr>
                <w:b/>
                <w:sz w:val="26"/>
                <w:szCs w:val="26"/>
              </w:rPr>
              <w:t>участниками</w:t>
            </w:r>
            <w:r w:rsidRPr="00932856">
              <w:rPr>
                <w:b/>
                <w:sz w:val="26"/>
                <w:szCs w:val="26"/>
              </w:rPr>
              <w:t xml:space="preserve"> СВО и их семьями на примере конкретной ситуации</w:t>
            </w:r>
          </w:p>
        </w:tc>
        <w:tc>
          <w:tcPr>
            <w:tcW w:w="3149" w:type="pct"/>
            <w:shd w:val="clear" w:color="auto" w:fill="auto"/>
          </w:tcPr>
          <w:p w:rsidR="00C174A8" w:rsidRPr="00932856" w:rsidRDefault="00C174A8" w:rsidP="007B52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данном критерии </w:t>
            </w:r>
            <w:r w:rsidRPr="0000707A">
              <w:rPr>
                <w:sz w:val="26"/>
                <w:szCs w:val="26"/>
              </w:rPr>
              <w:t>оценивается: план мероприятий с данной категорией (комплексный подход при составлении плана мероприятий, учет социального статуса, привлечение государственных</w:t>
            </w:r>
            <w:r w:rsidRPr="00932856">
              <w:rPr>
                <w:sz w:val="26"/>
                <w:szCs w:val="26"/>
              </w:rPr>
              <w:t xml:space="preserve"> учреждений и социальных партнеров</w:t>
            </w:r>
            <w:r>
              <w:rPr>
                <w:sz w:val="26"/>
                <w:szCs w:val="26"/>
              </w:rPr>
              <w:t>), памятка</w:t>
            </w:r>
            <w:r w:rsidR="00E66464">
              <w:rPr>
                <w:sz w:val="26"/>
                <w:szCs w:val="26"/>
              </w:rPr>
              <w:t>-путеводитель</w:t>
            </w:r>
            <w:r>
              <w:rPr>
                <w:sz w:val="26"/>
                <w:szCs w:val="26"/>
              </w:rPr>
              <w:t xml:space="preserve"> для данной категории</w:t>
            </w:r>
            <w:r w:rsidR="00E66464">
              <w:rPr>
                <w:sz w:val="26"/>
                <w:szCs w:val="26"/>
              </w:rPr>
              <w:t>, очная презентация.</w:t>
            </w:r>
          </w:p>
        </w:tc>
      </w:tr>
    </w:tbl>
    <w:p w:rsidR="003A3D72" w:rsidRDefault="003A3D72" w:rsidP="0089016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1625" w:rsidRPr="00C85B30" w:rsidRDefault="00DA533B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3A3D72" w:rsidRPr="00C85B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60BC" w:rsidRPr="00C85B30">
        <w:rPr>
          <w:rFonts w:ascii="Times New Roman" w:hAnsi="Times New Roman" w:cs="Times New Roman"/>
          <w:b/>
          <w:bCs/>
          <w:sz w:val="28"/>
          <w:szCs w:val="28"/>
        </w:rPr>
        <w:t>Конкурсное задание</w:t>
      </w:r>
    </w:p>
    <w:p w:rsidR="00B14542" w:rsidRPr="00C85B30" w:rsidRDefault="00B14542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5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21 час</w:t>
      </w:r>
    </w:p>
    <w:p w:rsidR="00DA533B" w:rsidRPr="00C85B30" w:rsidRDefault="00DA533B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368A7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8368A7" w:rsidRPr="00C85B30" w:rsidRDefault="008368A7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E86AEE" w:rsidRPr="00C85B30" w:rsidRDefault="008368A7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54E3A">
        <w:rPr>
          <w:rFonts w:ascii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1A4A9E" w:rsidRPr="00C85B30">
        <w:rPr>
          <w:rFonts w:ascii="Times New Roman" w:hAnsi="Times New Roman" w:cs="Times New Roman"/>
          <w:sz w:val="28"/>
          <w:szCs w:val="28"/>
        </w:rPr>
        <w:t>.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часов на выполнение заданий </w:t>
      </w:r>
      <w:r w:rsidR="00DD6805" w:rsidRPr="00C85B30">
        <w:rPr>
          <w:rFonts w:ascii="Times New Roman" w:eastAsia="Times New Roman" w:hAnsi="Times New Roman" w:cs="Times New Roman"/>
          <w:sz w:val="28"/>
          <w:szCs w:val="28"/>
        </w:rPr>
        <w:t>21 час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1 рабочий день: Модуль А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часа),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 - итого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2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 xml:space="preserve">Модуль Г (2 часа),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итого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3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 часа) - итого 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945E13" w:rsidRPr="00C85B30" w:rsidRDefault="00945E1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7" w:rsidRPr="00C85B30" w:rsidRDefault="008368A7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142037189"/>
      <w:r w:rsidRPr="00C85B30">
        <w:rPr>
          <w:rFonts w:ascii="Times New Roman" w:hAnsi="Times New Roman"/>
          <w:szCs w:val="28"/>
        </w:rPr>
        <w:t>1.5.1. Разработка/выбор конкурсного задания</w:t>
      </w:r>
      <w:bookmarkEnd w:id="5"/>
    </w:p>
    <w:p w:rsidR="008368A7" w:rsidRPr="00C85B30" w:rsidRDefault="008368A7" w:rsidP="00C85B3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C85B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 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 w:rsidRPr="00C85B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– 3 </w:t>
      </w:r>
      <w:r w:rsidR="00223AB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Pr="00C85B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 2</w:t>
      </w:r>
      <w:r w:rsidR="00223AB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E90AB5" w:rsidRPr="00C85B30" w:rsidRDefault="00E90AB5" w:rsidP="00D360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3A0" w:rsidRPr="00C85B30" w:rsidRDefault="009B33A0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142037190"/>
      <w:r w:rsidRPr="00C85B30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6"/>
    </w:p>
    <w:p w:rsidR="004B5435" w:rsidRPr="00C85B30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Выявление</w:t>
      </w:r>
      <w:r w:rsidR="000121D4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потребности в социальных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услугах</w:t>
      </w:r>
      <w:r w:rsidR="00485F06" w:rsidRPr="00C85B30">
        <w:rPr>
          <w:rFonts w:ascii="Times New Roman" w:eastAsia="Times New Roman" w:hAnsi="Times New Roman" w:cs="Times New Roman"/>
          <w:b/>
          <w:sz w:val="28"/>
          <w:szCs w:val="28"/>
        </w:rPr>
        <w:t>. Ведение профессиональной документации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60BC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6464" w:rsidRPr="009560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121D4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</w:t>
      </w:r>
    </w:p>
    <w:p w:rsidR="00B67F44" w:rsidRPr="00C85B30" w:rsidRDefault="00730AE0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D1290" w:rsidRPr="00C85B30" w:rsidRDefault="00F54E3A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0D1290" w:rsidRPr="00C85B30">
        <w:rPr>
          <w:rFonts w:ascii="Times New Roman" w:eastAsia="Times New Roman" w:hAnsi="Times New Roman" w:cs="Times New Roman"/>
          <w:sz w:val="28"/>
          <w:szCs w:val="28"/>
        </w:rPr>
        <w:t>у необходимо проконсультировать гражданина, обратившегося за государственной социальной помощью и социальными услугами.</w:t>
      </w:r>
    </w:p>
    <w:p w:rsidR="000D1290" w:rsidRPr="00C85B30" w:rsidRDefault="000D1290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конкретной ситуации </w:t>
      </w:r>
      <w:r w:rsidR="00F54E3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>у необходимо:</w:t>
      </w:r>
    </w:p>
    <w:p w:rsidR="000D1290" w:rsidRPr="00C85B30" w:rsidRDefault="000D1290" w:rsidP="00C85B30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может ли являться обратившийся получателем социальных услуг;</w:t>
      </w:r>
    </w:p>
    <w:p w:rsidR="000D1290" w:rsidRPr="00C85B30" w:rsidRDefault="000D1290" w:rsidP="00C85B30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на какую социальную помощь может рассчитывать обратившийся;</w:t>
      </w:r>
    </w:p>
    <w:p w:rsidR="000D1290" w:rsidRPr="00C85B30" w:rsidRDefault="000D1290" w:rsidP="00C85B30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перечень необходимых документов и 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указать,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их необходимо предоставить гражданину, обратившемуся за социальной помощью и услугами;</w:t>
      </w:r>
    </w:p>
    <w:p w:rsidR="000D1290" w:rsidRPr="00C85B30" w:rsidRDefault="000D1290" w:rsidP="00C85B30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порядок предоставления социальных услуг для конкретного гражданина;</w:t>
      </w:r>
    </w:p>
    <w:p w:rsidR="000D1290" w:rsidRPr="00C85B30" w:rsidRDefault="000D1290" w:rsidP="00C85B30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предложить не менее трех организаций для оказания социальной помощи и услуг данному гражданину (гражданке);</w:t>
      </w:r>
    </w:p>
    <w:p w:rsidR="000D1290" w:rsidRPr="00C85B30" w:rsidRDefault="000D1290" w:rsidP="00C85B30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заполнить требуемую в рамках конкурсного задания профессиональную документацию (см. Приложение к модулю А - Акт и ИППСУ);</w:t>
      </w:r>
    </w:p>
    <w:p w:rsidR="00DB6EC2" w:rsidRPr="00910F6A" w:rsidRDefault="000D1290" w:rsidP="00910F6A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составить письмо – обращение об оказании помощи обратившемуся.</w:t>
      </w:r>
    </w:p>
    <w:p w:rsidR="00730AE0" w:rsidRPr="00910F6A" w:rsidRDefault="00485F06" w:rsidP="0091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0F6A">
        <w:rPr>
          <w:rFonts w:ascii="Times New Roman" w:eastAsia="Times New Roman" w:hAnsi="Times New Roman"/>
          <w:sz w:val="28"/>
          <w:szCs w:val="28"/>
        </w:rPr>
        <w:t>Э</w:t>
      </w:r>
      <w:r w:rsidR="00B67F44" w:rsidRPr="00910F6A">
        <w:rPr>
          <w:rFonts w:ascii="Times New Roman" w:eastAsia="Times New Roman" w:hAnsi="Times New Roman"/>
          <w:sz w:val="28"/>
          <w:szCs w:val="28"/>
        </w:rPr>
        <w:t>ксперты оценивают последовательность, правильность, качество выполнения работы в соответствии с конкурсным заданием.</w:t>
      </w:r>
    </w:p>
    <w:p w:rsidR="000121D4" w:rsidRPr="00C85B30" w:rsidRDefault="0099461D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Pr="00C85B30">
        <w:rPr>
          <w:rFonts w:ascii="Times New Roman" w:hAnsi="Times New Roman" w:cs="Times New Roman"/>
          <w:sz w:val="28"/>
          <w:szCs w:val="28"/>
        </w:rPr>
        <w:t>в данном зада</w:t>
      </w:r>
      <w:r w:rsidR="00973C4D" w:rsidRPr="00C85B30">
        <w:rPr>
          <w:rFonts w:ascii="Times New Roman" w:hAnsi="Times New Roman" w:cs="Times New Roman"/>
          <w:sz w:val="28"/>
          <w:szCs w:val="28"/>
        </w:rPr>
        <w:t>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D86B4C">
        <w:rPr>
          <w:rFonts w:ascii="Times New Roman" w:hAnsi="Times New Roman" w:cs="Times New Roman"/>
          <w:sz w:val="28"/>
          <w:szCs w:val="28"/>
        </w:rPr>
        <w:t>участники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и семьи СВО, </w:t>
      </w:r>
      <w:r w:rsidR="00511B9F" w:rsidRPr="00C85B30">
        <w:rPr>
          <w:rFonts w:ascii="Times New Roman" w:hAnsi="Times New Roman" w:cs="Times New Roman"/>
          <w:sz w:val="28"/>
          <w:szCs w:val="28"/>
        </w:rPr>
        <w:t>лица (граждане)</w:t>
      </w:r>
      <w:r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E90AB5" w:rsidRPr="00C85B30">
        <w:rPr>
          <w:rFonts w:ascii="Times New Roman" w:hAnsi="Times New Roman" w:cs="Times New Roman"/>
          <w:sz w:val="28"/>
          <w:szCs w:val="28"/>
        </w:rPr>
        <w:t>, семьи разного типа</w:t>
      </w:r>
      <w:r w:rsidRPr="00C85B30">
        <w:rPr>
          <w:rFonts w:ascii="Times New Roman" w:hAnsi="Times New Roman" w:cs="Times New Roman"/>
          <w:sz w:val="28"/>
          <w:szCs w:val="28"/>
        </w:rPr>
        <w:t>.</w:t>
      </w:r>
    </w:p>
    <w:p w:rsidR="00E66464" w:rsidRPr="00C85B30" w:rsidRDefault="00E66464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9" w:rsidRPr="009560BC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Б</w:t>
      </w:r>
      <w:r w:rsidR="002233FC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мероприятия профилактической направленности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814BD9" w:rsidRPr="009560BC" w:rsidRDefault="00814BD9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00775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 часов (3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- подготовка сценария, 2 часа – проведение мероприятия)</w:t>
      </w:r>
    </w:p>
    <w:p w:rsidR="00814BD9" w:rsidRPr="00C85B30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14BD9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 разработать сценарий мероприятия профилактической направленности.  В ходе проведения мероприятия допускается использование различных форм, методов и технологий, а также компьютерной презентации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– 12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мероприятия необходимо провести его анализ на соответствие целям и задачам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3 мин.)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BD9" w:rsidRPr="00C85B30" w:rsidRDefault="00814BD9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задании может быть использована одна из предложенных категорий – граждане пожилого возраста, семьи разного типа </w:t>
      </w:r>
      <w:r w:rsidR="00223AB9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СВО),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 в сфере социальной сферы,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подростки с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девиантными формами поведения, лица с ОВЗ. В данном модуле допускается использование интернета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наушников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 допускается использование готовых продуктов)</w:t>
      </w:r>
    </w:p>
    <w:p w:rsidR="00032143" w:rsidRPr="00C85B30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39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Профилактика</w:t>
      </w:r>
      <w:r w:rsidR="00D749C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обстоятельств, обусловливающих нуждаемость в социальном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обслуживании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730AE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749C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(4</w:t>
      </w:r>
      <w:r w:rsidR="00EF71D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подготовка проекта, 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– защита проекта, включая вопросы экспертов)</w:t>
      </w:r>
    </w:p>
    <w:p w:rsidR="00D749C7" w:rsidRPr="00C85B30" w:rsidRDefault="00D749C7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D749C7" w:rsidRPr="00C85B30" w:rsidRDefault="00F54E3A" w:rsidP="009560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у необходимо разработать и защитить социальный проект профилактической направленности по заданной тематике, а также оформить</w:t>
      </w:r>
      <w:r w:rsidR="00D360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416A" w:rsidRPr="00C85B30">
        <w:rPr>
          <w:rFonts w:ascii="Times New Roman" w:eastAsia="Times New Roman" w:hAnsi="Times New Roman" w:cs="Times New Roman"/>
          <w:bCs/>
          <w:sz w:val="28"/>
          <w:szCs w:val="28"/>
        </w:rPr>
        <w:t>по требованиям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титульный лист проекта;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введение (актуальность проекта);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современное состояние исследований в данной области;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цели и задачи проекта;</w:t>
      </w:r>
    </w:p>
    <w:p w:rsidR="00D749C7" w:rsidRPr="00C85B30" w:rsidRDefault="00DE16ED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план</w:t>
      </w:r>
      <w:r w:rsidR="00D749C7" w:rsidRPr="00C85B30">
        <w:rPr>
          <w:rFonts w:ascii="Times New Roman" w:eastAsia="Times New Roman" w:hAnsi="Times New Roman"/>
          <w:bCs/>
          <w:sz w:val="28"/>
          <w:szCs w:val="28"/>
        </w:rPr>
        <w:t xml:space="preserve"> мероприятий, необходимых для достижения поставленных целей;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условия, в которых будет выполняться проект;</w:t>
      </w:r>
    </w:p>
    <w:p w:rsidR="005C7B0F" w:rsidRPr="00C85B30" w:rsidRDefault="005C7B0F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межведомственное взаимодействие;</w:t>
      </w:r>
    </w:p>
    <w:p w:rsidR="005C7B0F" w:rsidRPr="00C85B30" w:rsidRDefault="005C7B0F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дальнейшее развитие проекта;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ожидаемые результаты;</w:t>
      </w:r>
    </w:p>
    <w:p w:rsidR="00D749C7" w:rsidRPr="00C85B30" w:rsidRDefault="00D749C7" w:rsidP="009560BC">
      <w:pPr>
        <w:pStyle w:val="aff1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/>
          <w:bCs/>
          <w:sz w:val="28"/>
          <w:szCs w:val="28"/>
        </w:rPr>
        <w:t>информационное сопровождение защиты социального проекта в виде компьютерной презентации.</w:t>
      </w:r>
    </w:p>
    <w:p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>Эксперты оценивают последовательность, правильность, качество выполнения работы в соответствии с конкурсным заданием.</w:t>
      </w:r>
    </w:p>
    <w:p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Требования к модулю</w:t>
      </w:r>
      <w:r w:rsidR="002448A6" w:rsidRPr="00C85B30">
        <w:rPr>
          <w:rFonts w:ascii="Times New Roman" w:eastAsia="Times New Roman" w:hAnsi="Times New Roman" w:cs="Times New Roman"/>
          <w:bCs/>
          <w:sz w:val="28"/>
          <w:szCs w:val="28"/>
        </w:rPr>
        <w:t>: в данном задании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использована одна из предложенных категорий – 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>участники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семьи СВО, 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лица (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DE16ED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ОВЗ,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социальной сферы,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разного типа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подростки с девиантными формами поведения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 пожилого возраста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730AE0" w:rsidRPr="00C85B30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23BB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3BB7" w:rsidRPr="00C85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="00123BB7" w:rsidRPr="00956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консультирования получателя социальных услуг</w:t>
      </w:r>
      <w:r w:rsidR="00123BB7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(имитация реального </w:t>
      </w:r>
      <w:r w:rsidR="00DA38BF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консультирования)</w:t>
      </w:r>
      <w:r w:rsidR="009560BC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:rsidR="00730AE0" w:rsidRPr="009560BC" w:rsidRDefault="00A00775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без предварительной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подготовки, включая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вопросы экспертов. Выступление </w:t>
      </w:r>
      <w:r w:rsidR="00F54E3A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ов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основании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жеребьёвки.</w:t>
      </w:r>
    </w:p>
    <w:p w:rsidR="00123BB7" w:rsidRPr="00C85B30" w:rsidRDefault="009560BC" w:rsidP="009560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607309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730AE0"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38BF" w:rsidRPr="009560BC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>ами проводит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ся консультирование в течени</w:t>
      </w:r>
      <w:r w:rsidR="00FD7CD1" w:rsidRPr="00C85B3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10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с получателем социальных услуг (волонтер обыгрывает ситуацию, предоставленную 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</w:rPr>
        <w:t>ГЭ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компетенции)</w:t>
      </w:r>
      <w:r w:rsidR="009560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9461D" w:rsidRPr="00C85B30" w:rsidRDefault="0099461D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="00847C72" w:rsidRPr="00C85B30">
        <w:rPr>
          <w:rFonts w:ascii="Times New Roman" w:hAnsi="Times New Roman" w:cs="Times New Roman"/>
          <w:sz w:val="28"/>
          <w:szCs w:val="28"/>
        </w:rPr>
        <w:t>в данном задании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052B19" w:rsidRPr="00C85B30">
        <w:rPr>
          <w:rFonts w:ascii="Times New Roman" w:hAnsi="Times New Roman" w:cs="Times New Roman"/>
          <w:sz w:val="28"/>
          <w:szCs w:val="28"/>
        </w:rPr>
        <w:t>лица (</w:t>
      </w:r>
      <w:r w:rsidR="00123BB7" w:rsidRPr="00C85B30">
        <w:rPr>
          <w:rFonts w:ascii="Times New Roman" w:hAnsi="Times New Roman" w:cs="Times New Roman"/>
          <w:sz w:val="28"/>
          <w:szCs w:val="28"/>
        </w:rPr>
        <w:t>граждане</w:t>
      </w:r>
      <w:r w:rsidR="00052B19" w:rsidRPr="00C85B30">
        <w:rPr>
          <w:rFonts w:ascii="Times New Roman" w:hAnsi="Times New Roman" w:cs="Times New Roman"/>
          <w:sz w:val="28"/>
          <w:szCs w:val="28"/>
        </w:rPr>
        <w:t>)</w:t>
      </w:r>
      <w:r w:rsidR="00123BB7"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713B85" w:rsidRPr="00C85B30">
        <w:rPr>
          <w:rFonts w:ascii="Times New Roman" w:hAnsi="Times New Roman" w:cs="Times New Roman"/>
          <w:sz w:val="28"/>
          <w:szCs w:val="28"/>
        </w:rPr>
        <w:t>,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Pr="00C85B3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123BB7" w:rsidRPr="00C85B30">
        <w:rPr>
          <w:rFonts w:ascii="Times New Roman" w:hAnsi="Times New Roman" w:cs="Times New Roman"/>
          <w:sz w:val="28"/>
          <w:szCs w:val="28"/>
        </w:rPr>
        <w:t>разного типа</w:t>
      </w:r>
      <w:r w:rsidR="00032143" w:rsidRPr="00C85B30">
        <w:rPr>
          <w:rFonts w:ascii="Times New Roman" w:hAnsi="Times New Roman" w:cs="Times New Roman"/>
          <w:sz w:val="28"/>
          <w:szCs w:val="28"/>
        </w:rPr>
        <w:t xml:space="preserve"> (в том числе семья СВО)</w:t>
      </w:r>
      <w:r w:rsidR="00123BB7" w:rsidRPr="00C85B30">
        <w:rPr>
          <w:rFonts w:ascii="Times New Roman" w:hAnsi="Times New Roman" w:cs="Times New Roman"/>
          <w:sz w:val="28"/>
          <w:szCs w:val="28"/>
        </w:rPr>
        <w:t>.</w:t>
      </w:r>
    </w:p>
    <w:p w:rsidR="00052B19" w:rsidRPr="00C85B30" w:rsidRDefault="00052B19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9B" w:rsidRPr="009560BC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Д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Разработка плана мероприятий </w:t>
      </w:r>
      <w:r w:rsidR="00F1369B" w:rsidRPr="00D8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86B4C" w:rsidRPr="00D86B4C"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 и их семьями на примере конкретной ситуации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:rsidR="00F1369B" w:rsidRPr="009560BC" w:rsidRDefault="00F1369B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(3 часа – подготовка, 2 часа – защита)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D3602E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–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мин.</w:t>
      </w:r>
    </w:p>
    <w:p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1369B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разработать план мероприятий для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конкретной ситуации.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должны быть прописаны: введение, цель, задачи, основные мероприятия, вывод. Разработать памятку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02E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путеводитель для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семьи, ориентируясь на ситуацию.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презентацию</w:t>
      </w:r>
      <w:r w:rsidR="008A229C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защитить разработанный план и памятку. </w:t>
      </w:r>
    </w:p>
    <w:p w:rsidR="00F1369B" w:rsidRPr="00C85B30" w:rsidRDefault="00F1369B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задании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отразить   формы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технологии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методы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категорией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учитывая государственные учреждения и социальных партнеров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 к модулю Д</w:t>
      </w:r>
      <w:r w:rsidR="0000707A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C81811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132" w:rsidRPr="00C85B30" w:rsidRDefault="002233FC" w:rsidP="009560BC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bookmarkStart w:id="8" w:name="_Toc78885643"/>
      <w:bookmarkStart w:id="9" w:name="_Toc124422971"/>
      <w:bookmarkEnd w:id="7"/>
      <w:r w:rsidRPr="00C85B30">
        <w:rPr>
          <w:rFonts w:ascii="Times New Roman" w:hAnsi="Times New Roman"/>
          <w:iCs/>
          <w:szCs w:val="28"/>
          <w:lang w:val="ru-RU"/>
        </w:rPr>
        <w:t>2.</w:t>
      </w:r>
      <w:r w:rsidR="009560BC">
        <w:rPr>
          <w:rFonts w:ascii="Times New Roman" w:hAnsi="Times New Roman"/>
          <w:iCs/>
          <w:szCs w:val="28"/>
          <w:lang w:val="ru-RU"/>
        </w:rPr>
        <w:t xml:space="preserve"> </w:t>
      </w:r>
      <w:r w:rsidR="00D17132" w:rsidRPr="00C85B30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8"/>
      <w:bookmarkEnd w:id="9"/>
    </w:p>
    <w:p w:rsidR="00AC4995" w:rsidRPr="00C85B30" w:rsidRDefault="00AC4995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Для всех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 экспертов и конкурсантов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обязателен дело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вой стиль одежды, сменная обувь (</w:t>
      </w:r>
      <w:r w:rsidR="00DE5F12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допустимы:</w:t>
      </w:r>
      <w:r w:rsidR="00EF71D7" w:rsidRPr="00C85B30">
        <w:rPr>
          <w:rFonts w:ascii="Times New Roman" w:eastAsia="Times New Roman" w:hAnsi="Times New Roman" w:cs="Times New Roman"/>
          <w:sz w:val="28"/>
          <w:szCs w:val="28"/>
        </w:rPr>
        <w:t xml:space="preserve"> спортивная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обувь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сланцы, сандалии, 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джинсовая, кожаная, спортивная одежда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E67C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всех экспертов и конкурсантов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</w:rPr>
        <w:t>а площадке не допускается использование сотового телефона, наушников, собственного оборудования, канцелярии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, пищевых продуктов</w:t>
      </w:r>
      <w:r w:rsidR="009B33A0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(электронные механические, смарт-часы).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602E" w:rsidRPr="00C85B3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наличие сотового телефона на площадке у Главного эксперта, Технического эксперта и Индустриального эксперта для организации   Чемпионата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132" w:rsidRPr="00C85B30" w:rsidRDefault="00D17132" w:rsidP="00C85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F2A" w:rsidRPr="00C85B30" w:rsidRDefault="002233F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24422972"/>
      <w:r w:rsidRPr="00C85B30">
        <w:rPr>
          <w:rFonts w:ascii="Times New Roman" w:hAnsi="Times New Roman"/>
          <w:bCs/>
          <w:iCs/>
          <w:szCs w:val="28"/>
        </w:rPr>
        <w:t>2.1</w:t>
      </w:r>
      <w:r w:rsidR="009154E7">
        <w:rPr>
          <w:rFonts w:ascii="Times New Roman" w:hAnsi="Times New Roman"/>
          <w:bCs/>
          <w:iCs/>
          <w:szCs w:val="28"/>
        </w:rPr>
        <w:t xml:space="preserve"> </w:t>
      </w:r>
      <w:r w:rsidR="00A11569" w:rsidRPr="00C85B30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0"/>
    </w:p>
    <w:p w:rsidR="00E15F2A" w:rsidRDefault="009405FD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Не применяется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4E7" w:rsidRPr="00C85B30" w:rsidRDefault="009154E7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0BC" w:rsidRDefault="002233FC" w:rsidP="009560BC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1" w:name="_Toc78885660"/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="00D3602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5F2A"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:rsidR="00E15F2A" w:rsidRPr="00C85B30" w:rsidRDefault="00E15F2A" w:rsidP="009560BC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1"/>
    </w:p>
    <w:p w:rsidR="009405FD" w:rsidRDefault="009405FD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На площадке не допускается использование сотового телефона, наушников, собственного оборудования, канцелярии, пищевых продуктов</w:t>
      </w:r>
      <w:r w:rsidR="00C174A8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534888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</w:t>
      </w:r>
      <w:r w:rsidR="002C1050" w:rsidRPr="00C85B30">
        <w:rPr>
          <w:rFonts w:ascii="Times New Roman" w:eastAsia="Times New Roman" w:hAnsi="Times New Roman" w:cs="Times New Roman"/>
          <w:sz w:val="28"/>
          <w:szCs w:val="28"/>
        </w:rPr>
        <w:t>ронные механические, смарт-часы</w:t>
      </w:r>
      <w:r w:rsidR="008D34CF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12" w:name="_GoBack"/>
      <w:bookmarkEnd w:id="12"/>
      <w:r w:rsidRPr="00C8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0BC" w:rsidRDefault="009560BC" w:rsidP="009560BC">
      <w:pPr>
        <w:pStyle w:val="a9"/>
        <w:spacing w:line="360" w:lineRule="auto"/>
        <w:rPr>
          <w:rFonts w:eastAsia="Times New Roman"/>
        </w:rPr>
      </w:pPr>
    </w:p>
    <w:p w:rsidR="009B33A0" w:rsidRPr="00C85B30" w:rsidRDefault="009B33A0" w:rsidP="00C85B3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142037194"/>
      <w:r w:rsidRPr="00C85B30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3"/>
    </w:p>
    <w:p w:rsidR="00E86AEE" w:rsidRPr="009560BC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1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заполнению матрицы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E86AEE" w:rsidRPr="009560BC" w:rsidRDefault="00E86AEE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Приложение </w:t>
      </w:r>
      <w:r w:rsidR="002B33EB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2</w:t>
      </w: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Матрица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E86AEE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3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охране труда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9154E7" w:rsidRDefault="009154E7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154E7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4.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 Чек – лист компетенции</w:t>
      </w:r>
    </w:p>
    <w:p w:rsid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5</w:t>
      </w:r>
      <w:r w:rsidR="00E86AEE" w:rsidRPr="009560BC">
        <w:rPr>
          <w:rFonts w:ascii="Times New Roman" w:eastAsia="Arial Unicode MS" w:hAnsi="Times New Roman"/>
          <w:b w:val="0"/>
          <w:szCs w:val="28"/>
        </w:rPr>
        <w:t xml:space="preserve">.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А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:rsidR="00161AC0" w:rsidRP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6</w:t>
      </w:r>
      <w:r w:rsidR="00282074" w:rsidRPr="009560BC">
        <w:rPr>
          <w:rFonts w:ascii="Times New Roman" w:eastAsia="Arial Unicode MS" w:hAnsi="Times New Roman"/>
          <w:b w:val="0"/>
          <w:szCs w:val="28"/>
        </w:rPr>
        <w:t>.</w:t>
      </w:r>
      <w:r w:rsidR="009560BC">
        <w:rPr>
          <w:rFonts w:ascii="Times New Roman" w:eastAsia="Arial Unicode MS" w:hAnsi="Times New Roman"/>
          <w:b w:val="0"/>
          <w:szCs w:val="28"/>
        </w:rPr>
        <w:t xml:space="preserve">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Д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:rsidR="00FF2E70" w:rsidRPr="00932856" w:rsidRDefault="00FF2E70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 w:val="26"/>
          <w:szCs w:val="26"/>
        </w:rPr>
      </w:pPr>
    </w:p>
    <w:sectPr w:rsidR="00FF2E70" w:rsidRPr="00932856" w:rsidSect="00C85B30">
      <w:headerReference w:type="default" r:id="rId21"/>
      <w:footerReference w:type="default" r:id="rId22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1E3" w:rsidRDefault="00F361E3" w:rsidP="00970F49">
      <w:pPr>
        <w:spacing w:after="0" w:line="240" w:lineRule="auto"/>
      </w:pPr>
      <w:r>
        <w:separator/>
      </w:r>
    </w:p>
  </w:endnote>
  <w:endnote w:type="continuationSeparator" w:id="0">
    <w:p w:rsidR="00F361E3" w:rsidRDefault="00F361E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498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091A" w:rsidRPr="00C85B30" w:rsidRDefault="00FE091A" w:rsidP="00C85B3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5B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B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B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5B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1E3" w:rsidRDefault="00F361E3" w:rsidP="00970F49">
      <w:pPr>
        <w:spacing w:after="0" w:line="240" w:lineRule="auto"/>
      </w:pPr>
      <w:r>
        <w:separator/>
      </w:r>
    </w:p>
  </w:footnote>
  <w:footnote w:type="continuationSeparator" w:id="0">
    <w:p w:rsidR="00F361E3" w:rsidRDefault="00F361E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1A" w:rsidRPr="00B45AA4" w:rsidRDefault="00FE091A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CBD"/>
    <w:multiLevelType w:val="multilevel"/>
    <w:tmpl w:val="C04809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0F3ECE"/>
    <w:multiLevelType w:val="hybridMultilevel"/>
    <w:tmpl w:val="383C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696A"/>
    <w:multiLevelType w:val="hybridMultilevel"/>
    <w:tmpl w:val="C264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6BD"/>
    <w:multiLevelType w:val="hybridMultilevel"/>
    <w:tmpl w:val="4FC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C37"/>
    <w:multiLevelType w:val="hybridMultilevel"/>
    <w:tmpl w:val="E7EE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036E9"/>
    <w:multiLevelType w:val="hybridMultilevel"/>
    <w:tmpl w:val="7B56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832C7"/>
    <w:multiLevelType w:val="hybridMultilevel"/>
    <w:tmpl w:val="78188EDE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16A60"/>
    <w:multiLevelType w:val="hybridMultilevel"/>
    <w:tmpl w:val="5E06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39B3"/>
    <w:multiLevelType w:val="hybridMultilevel"/>
    <w:tmpl w:val="8494C572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F5009"/>
    <w:multiLevelType w:val="hybridMultilevel"/>
    <w:tmpl w:val="833E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7533"/>
    <w:multiLevelType w:val="hybridMultilevel"/>
    <w:tmpl w:val="31C6E4C2"/>
    <w:lvl w:ilvl="0" w:tplc="97980C2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0A1F27"/>
    <w:multiLevelType w:val="hybridMultilevel"/>
    <w:tmpl w:val="9660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0AF0"/>
    <w:multiLevelType w:val="hybridMultilevel"/>
    <w:tmpl w:val="A61A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E795B"/>
    <w:multiLevelType w:val="hybridMultilevel"/>
    <w:tmpl w:val="D7DA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82431"/>
    <w:multiLevelType w:val="hybridMultilevel"/>
    <w:tmpl w:val="99FA8D08"/>
    <w:lvl w:ilvl="0" w:tplc="8982B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AB1400"/>
    <w:multiLevelType w:val="hybridMultilevel"/>
    <w:tmpl w:val="01D47EAC"/>
    <w:lvl w:ilvl="0" w:tplc="8B20F42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9335B6"/>
    <w:multiLevelType w:val="hybridMultilevel"/>
    <w:tmpl w:val="A94A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613A4"/>
    <w:multiLevelType w:val="hybridMultilevel"/>
    <w:tmpl w:val="483C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7AF4"/>
    <w:multiLevelType w:val="hybridMultilevel"/>
    <w:tmpl w:val="7FB60A06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7720E"/>
    <w:multiLevelType w:val="hybridMultilevel"/>
    <w:tmpl w:val="C354EA8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178D2"/>
    <w:multiLevelType w:val="hybridMultilevel"/>
    <w:tmpl w:val="E518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E5127"/>
    <w:multiLevelType w:val="hybridMultilevel"/>
    <w:tmpl w:val="2A8205B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40C52"/>
    <w:multiLevelType w:val="hybridMultilevel"/>
    <w:tmpl w:val="99B6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8D2"/>
    <w:multiLevelType w:val="hybridMultilevel"/>
    <w:tmpl w:val="BAE8D0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20E41"/>
    <w:multiLevelType w:val="hybridMultilevel"/>
    <w:tmpl w:val="EAF444E4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36FD8"/>
    <w:multiLevelType w:val="hybridMultilevel"/>
    <w:tmpl w:val="13F601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DCF5BE8"/>
    <w:multiLevelType w:val="hybridMultilevel"/>
    <w:tmpl w:val="30688E3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C442F"/>
    <w:multiLevelType w:val="hybridMultilevel"/>
    <w:tmpl w:val="F68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29"/>
  </w:num>
  <w:num w:numId="7">
    <w:abstractNumId w:val="20"/>
  </w:num>
  <w:num w:numId="8">
    <w:abstractNumId w:val="27"/>
  </w:num>
  <w:num w:numId="9">
    <w:abstractNumId w:val="13"/>
  </w:num>
  <w:num w:numId="10">
    <w:abstractNumId w:val="31"/>
  </w:num>
  <w:num w:numId="11">
    <w:abstractNumId w:val="11"/>
  </w:num>
  <w:num w:numId="12">
    <w:abstractNumId w:val="33"/>
  </w:num>
  <w:num w:numId="13">
    <w:abstractNumId w:val="24"/>
  </w:num>
  <w:num w:numId="14">
    <w:abstractNumId w:val="14"/>
  </w:num>
  <w:num w:numId="15">
    <w:abstractNumId w:val="21"/>
  </w:num>
  <w:num w:numId="16">
    <w:abstractNumId w:val="5"/>
  </w:num>
  <w:num w:numId="17">
    <w:abstractNumId w:val="4"/>
  </w:num>
  <w:num w:numId="18">
    <w:abstractNumId w:val="16"/>
  </w:num>
  <w:num w:numId="19">
    <w:abstractNumId w:val="26"/>
  </w:num>
  <w:num w:numId="20">
    <w:abstractNumId w:val="18"/>
  </w:num>
  <w:num w:numId="21">
    <w:abstractNumId w:val="2"/>
  </w:num>
  <w:num w:numId="22">
    <w:abstractNumId w:val="34"/>
  </w:num>
  <w:num w:numId="23">
    <w:abstractNumId w:val="23"/>
  </w:num>
  <w:num w:numId="24">
    <w:abstractNumId w:val="15"/>
  </w:num>
  <w:num w:numId="25">
    <w:abstractNumId w:val="30"/>
  </w:num>
  <w:num w:numId="26">
    <w:abstractNumId w:val="19"/>
  </w:num>
  <w:num w:numId="27">
    <w:abstractNumId w:val="22"/>
  </w:num>
  <w:num w:numId="28">
    <w:abstractNumId w:val="32"/>
  </w:num>
  <w:num w:numId="29">
    <w:abstractNumId w:val="1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0"/>
  </w:num>
  <w:num w:numId="33">
    <w:abstractNumId w:val="17"/>
  </w:num>
  <w:num w:numId="34">
    <w:abstractNumId w:val="12"/>
  </w:num>
  <w:num w:numId="35">
    <w:abstractNumId w:val="25"/>
  </w:num>
  <w:num w:numId="36">
    <w:abstractNumId w:val="28"/>
  </w:num>
  <w:num w:numId="37">
    <w:abstractNumId w:val="0"/>
  </w:num>
  <w:num w:numId="3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4D98"/>
    <w:rsid w:val="000051E8"/>
    <w:rsid w:val="0000707A"/>
    <w:rsid w:val="000077DD"/>
    <w:rsid w:val="00010DF5"/>
    <w:rsid w:val="000121D4"/>
    <w:rsid w:val="00017BB0"/>
    <w:rsid w:val="00021CCE"/>
    <w:rsid w:val="00023F35"/>
    <w:rsid w:val="00024274"/>
    <w:rsid w:val="000244DA"/>
    <w:rsid w:val="00024F7D"/>
    <w:rsid w:val="00032143"/>
    <w:rsid w:val="000329B4"/>
    <w:rsid w:val="00041A78"/>
    <w:rsid w:val="0004626D"/>
    <w:rsid w:val="00052B19"/>
    <w:rsid w:val="00052EA9"/>
    <w:rsid w:val="00055B1C"/>
    <w:rsid w:val="00056CDE"/>
    <w:rsid w:val="00067386"/>
    <w:rsid w:val="00070110"/>
    <w:rsid w:val="00073E37"/>
    <w:rsid w:val="00081D65"/>
    <w:rsid w:val="000870CE"/>
    <w:rsid w:val="00094CF4"/>
    <w:rsid w:val="000A1F96"/>
    <w:rsid w:val="000A7013"/>
    <w:rsid w:val="000B3397"/>
    <w:rsid w:val="000B55A2"/>
    <w:rsid w:val="000C416A"/>
    <w:rsid w:val="000C4979"/>
    <w:rsid w:val="000D1290"/>
    <w:rsid w:val="000D1675"/>
    <w:rsid w:val="000D258B"/>
    <w:rsid w:val="000D43CC"/>
    <w:rsid w:val="000D4C46"/>
    <w:rsid w:val="000D7495"/>
    <w:rsid w:val="000D74AA"/>
    <w:rsid w:val="000F0FC3"/>
    <w:rsid w:val="000F402B"/>
    <w:rsid w:val="001024BE"/>
    <w:rsid w:val="00114D79"/>
    <w:rsid w:val="00123BB7"/>
    <w:rsid w:val="00127743"/>
    <w:rsid w:val="00133829"/>
    <w:rsid w:val="0013414F"/>
    <w:rsid w:val="0015561E"/>
    <w:rsid w:val="001575B4"/>
    <w:rsid w:val="00161518"/>
    <w:rsid w:val="00161AC0"/>
    <w:rsid w:val="001627D5"/>
    <w:rsid w:val="00163C54"/>
    <w:rsid w:val="00166E59"/>
    <w:rsid w:val="001719BA"/>
    <w:rsid w:val="001749D1"/>
    <w:rsid w:val="0017612A"/>
    <w:rsid w:val="001825AA"/>
    <w:rsid w:val="00196ABF"/>
    <w:rsid w:val="001A4A9E"/>
    <w:rsid w:val="001C63E7"/>
    <w:rsid w:val="001E1DF9"/>
    <w:rsid w:val="001E5210"/>
    <w:rsid w:val="001E71FC"/>
    <w:rsid w:val="001F1AB2"/>
    <w:rsid w:val="00201CA6"/>
    <w:rsid w:val="002023F4"/>
    <w:rsid w:val="002024C9"/>
    <w:rsid w:val="00220E70"/>
    <w:rsid w:val="002233FC"/>
    <w:rsid w:val="00223AB9"/>
    <w:rsid w:val="00226441"/>
    <w:rsid w:val="002346F7"/>
    <w:rsid w:val="00237603"/>
    <w:rsid w:val="00243F97"/>
    <w:rsid w:val="002448A6"/>
    <w:rsid w:val="00263C4E"/>
    <w:rsid w:val="00270E01"/>
    <w:rsid w:val="002776A1"/>
    <w:rsid w:val="00282074"/>
    <w:rsid w:val="00293129"/>
    <w:rsid w:val="0029547E"/>
    <w:rsid w:val="002B1426"/>
    <w:rsid w:val="002B33EB"/>
    <w:rsid w:val="002C1050"/>
    <w:rsid w:val="002F2129"/>
    <w:rsid w:val="002F2906"/>
    <w:rsid w:val="002F3885"/>
    <w:rsid w:val="002F39C8"/>
    <w:rsid w:val="003242E1"/>
    <w:rsid w:val="00333911"/>
    <w:rsid w:val="00334165"/>
    <w:rsid w:val="00352160"/>
    <w:rsid w:val="003531E7"/>
    <w:rsid w:val="00356A3C"/>
    <w:rsid w:val="003601A4"/>
    <w:rsid w:val="00363F8D"/>
    <w:rsid w:val="003661CA"/>
    <w:rsid w:val="0037535C"/>
    <w:rsid w:val="00375EE4"/>
    <w:rsid w:val="00383C5A"/>
    <w:rsid w:val="003934F8"/>
    <w:rsid w:val="00394FC9"/>
    <w:rsid w:val="00397A1B"/>
    <w:rsid w:val="003A08AF"/>
    <w:rsid w:val="003A21C8"/>
    <w:rsid w:val="003A3D72"/>
    <w:rsid w:val="003A4CA4"/>
    <w:rsid w:val="003A5DE7"/>
    <w:rsid w:val="003A7901"/>
    <w:rsid w:val="003C1D7A"/>
    <w:rsid w:val="003C4A4C"/>
    <w:rsid w:val="003C5F97"/>
    <w:rsid w:val="003D1E51"/>
    <w:rsid w:val="003F0EAE"/>
    <w:rsid w:val="00420F76"/>
    <w:rsid w:val="00423D21"/>
    <w:rsid w:val="004254FE"/>
    <w:rsid w:val="00433577"/>
    <w:rsid w:val="00436FFC"/>
    <w:rsid w:val="00437D28"/>
    <w:rsid w:val="0044354A"/>
    <w:rsid w:val="004467E4"/>
    <w:rsid w:val="00454353"/>
    <w:rsid w:val="00461AC6"/>
    <w:rsid w:val="0047271C"/>
    <w:rsid w:val="0047429B"/>
    <w:rsid w:val="00485F06"/>
    <w:rsid w:val="004904C5"/>
    <w:rsid w:val="00491214"/>
    <w:rsid w:val="004917C4"/>
    <w:rsid w:val="004A07A5"/>
    <w:rsid w:val="004A37C4"/>
    <w:rsid w:val="004A625F"/>
    <w:rsid w:val="004B5435"/>
    <w:rsid w:val="004B692B"/>
    <w:rsid w:val="004C3CAF"/>
    <w:rsid w:val="004C703E"/>
    <w:rsid w:val="004D096E"/>
    <w:rsid w:val="004E0604"/>
    <w:rsid w:val="004E785E"/>
    <w:rsid w:val="004E7905"/>
    <w:rsid w:val="005007ED"/>
    <w:rsid w:val="005043CE"/>
    <w:rsid w:val="005055FF"/>
    <w:rsid w:val="00507602"/>
    <w:rsid w:val="00510059"/>
    <w:rsid w:val="00511B9F"/>
    <w:rsid w:val="005213A3"/>
    <w:rsid w:val="0052774E"/>
    <w:rsid w:val="00534888"/>
    <w:rsid w:val="00554CBB"/>
    <w:rsid w:val="005560AC"/>
    <w:rsid w:val="00560DEC"/>
    <w:rsid w:val="0056194A"/>
    <w:rsid w:val="00565B7C"/>
    <w:rsid w:val="00566855"/>
    <w:rsid w:val="005804AF"/>
    <w:rsid w:val="00582385"/>
    <w:rsid w:val="00584908"/>
    <w:rsid w:val="00592401"/>
    <w:rsid w:val="005A1142"/>
    <w:rsid w:val="005A1625"/>
    <w:rsid w:val="005A2C76"/>
    <w:rsid w:val="005A5171"/>
    <w:rsid w:val="005B05D5"/>
    <w:rsid w:val="005B0DEC"/>
    <w:rsid w:val="005B1C40"/>
    <w:rsid w:val="005B66FC"/>
    <w:rsid w:val="005B71DE"/>
    <w:rsid w:val="005C6A23"/>
    <w:rsid w:val="005C7B0F"/>
    <w:rsid w:val="005E30DC"/>
    <w:rsid w:val="005E474D"/>
    <w:rsid w:val="005F66A8"/>
    <w:rsid w:val="00605DD7"/>
    <w:rsid w:val="0060658F"/>
    <w:rsid w:val="006110AB"/>
    <w:rsid w:val="00613219"/>
    <w:rsid w:val="0062007E"/>
    <w:rsid w:val="00620573"/>
    <w:rsid w:val="0062789A"/>
    <w:rsid w:val="0063396F"/>
    <w:rsid w:val="00640E46"/>
    <w:rsid w:val="0064179C"/>
    <w:rsid w:val="00642093"/>
    <w:rsid w:val="00643554"/>
    <w:rsid w:val="00643A8A"/>
    <w:rsid w:val="0064491A"/>
    <w:rsid w:val="00653B50"/>
    <w:rsid w:val="00654856"/>
    <w:rsid w:val="0067144C"/>
    <w:rsid w:val="006776B4"/>
    <w:rsid w:val="006873B8"/>
    <w:rsid w:val="00690E94"/>
    <w:rsid w:val="006A5520"/>
    <w:rsid w:val="006A5D72"/>
    <w:rsid w:val="006B0FEA"/>
    <w:rsid w:val="006B4672"/>
    <w:rsid w:val="006B7A57"/>
    <w:rsid w:val="006C6D6D"/>
    <w:rsid w:val="006C7A3B"/>
    <w:rsid w:val="006C7CE4"/>
    <w:rsid w:val="006D268C"/>
    <w:rsid w:val="006F2132"/>
    <w:rsid w:val="006F36DE"/>
    <w:rsid w:val="006F4464"/>
    <w:rsid w:val="00713B85"/>
    <w:rsid w:val="00714CA4"/>
    <w:rsid w:val="007250D9"/>
    <w:rsid w:val="007274B8"/>
    <w:rsid w:val="00727F97"/>
    <w:rsid w:val="00730AE0"/>
    <w:rsid w:val="00733390"/>
    <w:rsid w:val="00733AEB"/>
    <w:rsid w:val="0074372D"/>
    <w:rsid w:val="0075239E"/>
    <w:rsid w:val="00757768"/>
    <w:rsid w:val="007604F9"/>
    <w:rsid w:val="00764773"/>
    <w:rsid w:val="007735DC"/>
    <w:rsid w:val="00774145"/>
    <w:rsid w:val="007816CE"/>
    <w:rsid w:val="00781BBC"/>
    <w:rsid w:val="0078311A"/>
    <w:rsid w:val="00783A96"/>
    <w:rsid w:val="00786827"/>
    <w:rsid w:val="00791D70"/>
    <w:rsid w:val="0079472F"/>
    <w:rsid w:val="007A61C5"/>
    <w:rsid w:val="007A6888"/>
    <w:rsid w:val="007B0DCC"/>
    <w:rsid w:val="007B2222"/>
    <w:rsid w:val="007B3FD5"/>
    <w:rsid w:val="007B52DC"/>
    <w:rsid w:val="007D3601"/>
    <w:rsid w:val="007D6C20"/>
    <w:rsid w:val="007E49F7"/>
    <w:rsid w:val="007E67C0"/>
    <w:rsid w:val="007E73B4"/>
    <w:rsid w:val="007F508C"/>
    <w:rsid w:val="008015FF"/>
    <w:rsid w:val="008108EE"/>
    <w:rsid w:val="00812516"/>
    <w:rsid w:val="00814BD9"/>
    <w:rsid w:val="00816F17"/>
    <w:rsid w:val="00824707"/>
    <w:rsid w:val="00832EBB"/>
    <w:rsid w:val="00834734"/>
    <w:rsid w:val="00835BF6"/>
    <w:rsid w:val="008368A7"/>
    <w:rsid w:val="00841C74"/>
    <w:rsid w:val="00847C72"/>
    <w:rsid w:val="00851203"/>
    <w:rsid w:val="00865784"/>
    <w:rsid w:val="0087304E"/>
    <w:rsid w:val="008761F3"/>
    <w:rsid w:val="00877B94"/>
    <w:rsid w:val="00881DD2"/>
    <w:rsid w:val="00882B54"/>
    <w:rsid w:val="0088441B"/>
    <w:rsid w:val="008875EC"/>
    <w:rsid w:val="00890166"/>
    <w:rsid w:val="008912AE"/>
    <w:rsid w:val="008951C0"/>
    <w:rsid w:val="0089688C"/>
    <w:rsid w:val="008973F3"/>
    <w:rsid w:val="008A229C"/>
    <w:rsid w:val="008A54CD"/>
    <w:rsid w:val="008A687F"/>
    <w:rsid w:val="008B0F23"/>
    <w:rsid w:val="008B560B"/>
    <w:rsid w:val="008B6AA0"/>
    <w:rsid w:val="008C41F7"/>
    <w:rsid w:val="008D34CF"/>
    <w:rsid w:val="008D45BE"/>
    <w:rsid w:val="008D6DCF"/>
    <w:rsid w:val="008E341C"/>
    <w:rsid w:val="008E5424"/>
    <w:rsid w:val="008E7C45"/>
    <w:rsid w:val="008F17DE"/>
    <w:rsid w:val="00901689"/>
    <w:rsid w:val="009018F0"/>
    <w:rsid w:val="00903733"/>
    <w:rsid w:val="00906E82"/>
    <w:rsid w:val="00910F6A"/>
    <w:rsid w:val="009154E7"/>
    <w:rsid w:val="0092635F"/>
    <w:rsid w:val="00926A0A"/>
    <w:rsid w:val="00927EB3"/>
    <w:rsid w:val="00932856"/>
    <w:rsid w:val="009405FD"/>
    <w:rsid w:val="00945E13"/>
    <w:rsid w:val="00953113"/>
    <w:rsid w:val="00954B97"/>
    <w:rsid w:val="00955127"/>
    <w:rsid w:val="009560BC"/>
    <w:rsid w:val="00956BC9"/>
    <w:rsid w:val="009578F3"/>
    <w:rsid w:val="00970F49"/>
    <w:rsid w:val="009715DA"/>
    <w:rsid w:val="00973C4D"/>
    <w:rsid w:val="00976338"/>
    <w:rsid w:val="00981F0E"/>
    <w:rsid w:val="00982629"/>
    <w:rsid w:val="00991DCB"/>
    <w:rsid w:val="009931F0"/>
    <w:rsid w:val="0099461D"/>
    <w:rsid w:val="009955F8"/>
    <w:rsid w:val="009968E3"/>
    <w:rsid w:val="009A36AD"/>
    <w:rsid w:val="009A4474"/>
    <w:rsid w:val="009B18A2"/>
    <w:rsid w:val="009B33A0"/>
    <w:rsid w:val="009B417A"/>
    <w:rsid w:val="009C1C8A"/>
    <w:rsid w:val="009D04EE"/>
    <w:rsid w:val="009E37D3"/>
    <w:rsid w:val="009E52E7"/>
    <w:rsid w:val="009F57C0"/>
    <w:rsid w:val="00A00775"/>
    <w:rsid w:val="00A03412"/>
    <w:rsid w:val="00A03FE6"/>
    <w:rsid w:val="00A0510D"/>
    <w:rsid w:val="00A05516"/>
    <w:rsid w:val="00A11569"/>
    <w:rsid w:val="00A204BB"/>
    <w:rsid w:val="00A20A67"/>
    <w:rsid w:val="00A27EE4"/>
    <w:rsid w:val="00A406E2"/>
    <w:rsid w:val="00A47B76"/>
    <w:rsid w:val="00A57976"/>
    <w:rsid w:val="00A636B8"/>
    <w:rsid w:val="00A77B5B"/>
    <w:rsid w:val="00A8496D"/>
    <w:rsid w:val="00A85D42"/>
    <w:rsid w:val="00A87627"/>
    <w:rsid w:val="00A91D4B"/>
    <w:rsid w:val="00A962D4"/>
    <w:rsid w:val="00A9695C"/>
    <w:rsid w:val="00A9790B"/>
    <w:rsid w:val="00AA2B8A"/>
    <w:rsid w:val="00AA37CF"/>
    <w:rsid w:val="00AC4995"/>
    <w:rsid w:val="00AD0D49"/>
    <w:rsid w:val="00AD2200"/>
    <w:rsid w:val="00AD5135"/>
    <w:rsid w:val="00AE6AB7"/>
    <w:rsid w:val="00AE7A32"/>
    <w:rsid w:val="00AE7D79"/>
    <w:rsid w:val="00AF2088"/>
    <w:rsid w:val="00AF2D6F"/>
    <w:rsid w:val="00B01994"/>
    <w:rsid w:val="00B120F0"/>
    <w:rsid w:val="00B14542"/>
    <w:rsid w:val="00B162B5"/>
    <w:rsid w:val="00B17473"/>
    <w:rsid w:val="00B2061E"/>
    <w:rsid w:val="00B2068E"/>
    <w:rsid w:val="00B236AD"/>
    <w:rsid w:val="00B30A26"/>
    <w:rsid w:val="00B33F08"/>
    <w:rsid w:val="00B3671E"/>
    <w:rsid w:val="00B37579"/>
    <w:rsid w:val="00B40FFB"/>
    <w:rsid w:val="00B4196F"/>
    <w:rsid w:val="00B42EC0"/>
    <w:rsid w:val="00B45392"/>
    <w:rsid w:val="00B45AA4"/>
    <w:rsid w:val="00B5104C"/>
    <w:rsid w:val="00B5604E"/>
    <w:rsid w:val="00B610A2"/>
    <w:rsid w:val="00B67EFE"/>
    <w:rsid w:val="00B67F44"/>
    <w:rsid w:val="00B9774C"/>
    <w:rsid w:val="00BA2CF0"/>
    <w:rsid w:val="00BC3813"/>
    <w:rsid w:val="00BC487B"/>
    <w:rsid w:val="00BC7808"/>
    <w:rsid w:val="00BD3DE8"/>
    <w:rsid w:val="00BE03F7"/>
    <w:rsid w:val="00BE08C5"/>
    <w:rsid w:val="00BE099A"/>
    <w:rsid w:val="00BE6519"/>
    <w:rsid w:val="00BE6BEE"/>
    <w:rsid w:val="00C01924"/>
    <w:rsid w:val="00C06EBC"/>
    <w:rsid w:val="00C0723F"/>
    <w:rsid w:val="00C174A8"/>
    <w:rsid w:val="00C17B01"/>
    <w:rsid w:val="00C17DA9"/>
    <w:rsid w:val="00C21E3A"/>
    <w:rsid w:val="00C26C83"/>
    <w:rsid w:val="00C47EC4"/>
    <w:rsid w:val="00C52383"/>
    <w:rsid w:val="00C56A9B"/>
    <w:rsid w:val="00C6633E"/>
    <w:rsid w:val="00C73734"/>
    <w:rsid w:val="00C740CF"/>
    <w:rsid w:val="00C81811"/>
    <w:rsid w:val="00C8277D"/>
    <w:rsid w:val="00C85B30"/>
    <w:rsid w:val="00C92F1E"/>
    <w:rsid w:val="00C95538"/>
    <w:rsid w:val="00C96567"/>
    <w:rsid w:val="00C97E44"/>
    <w:rsid w:val="00CA4351"/>
    <w:rsid w:val="00CA4758"/>
    <w:rsid w:val="00CA6CCD"/>
    <w:rsid w:val="00CC50B7"/>
    <w:rsid w:val="00CD5E39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23028"/>
    <w:rsid w:val="00D3602E"/>
    <w:rsid w:val="00D36A25"/>
    <w:rsid w:val="00D37CEC"/>
    <w:rsid w:val="00D37DEA"/>
    <w:rsid w:val="00D405D4"/>
    <w:rsid w:val="00D41269"/>
    <w:rsid w:val="00D45007"/>
    <w:rsid w:val="00D47DE5"/>
    <w:rsid w:val="00D510CA"/>
    <w:rsid w:val="00D54B88"/>
    <w:rsid w:val="00D55B62"/>
    <w:rsid w:val="00D617CC"/>
    <w:rsid w:val="00D7441C"/>
    <w:rsid w:val="00D749C7"/>
    <w:rsid w:val="00D82F96"/>
    <w:rsid w:val="00D8681C"/>
    <w:rsid w:val="00D86B4C"/>
    <w:rsid w:val="00D87A1E"/>
    <w:rsid w:val="00D92B61"/>
    <w:rsid w:val="00DA30B0"/>
    <w:rsid w:val="00DA38BF"/>
    <w:rsid w:val="00DA533B"/>
    <w:rsid w:val="00DA62E3"/>
    <w:rsid w:val="00DB6EC2"/>
    <w:rsid w:val="00DD09E6"/>
    <w:rsid w:val="00DD6433"/>
    <w:rsid w:val="00DD6805"/>
    <w:rsid w:val="00DE07C1"/>
    <w:rsid w:val="00DE16ED"/>
    <w:rsid w:val="00DE39D8"/>
    <w:rsid w:val="00DE5614"/>
    <w:rsid w:val="00DE5F12"/>
    <w:rsid w:val="00E0407E"/>
    <w:rsid w:val="00E04FDF"/>
    <w:rsid w:val="00E124A0"/>
    <w:rsid w:val="00E15F2A"/>
    <w:rsid w:val="00E279E8"/>
    <w:rsid w:val="00E41D66"/>
    <w:rsid w:val="00E434CC"/>
    <w:rsid w:val="00E444A1"/>
    <w:rsid w:val="00E53151"/>
    <w:rsid w:val="00E579D6"/>
    <w:rsid w:val="00E62801"/>
    <w:rsid w:val="00E66464"/>
    <w:rsid w:val="00E745A5"/>
    <w:rsid w:val="00E74A20"/>
    <w:rsid w:val="00E75567"/>
    <w:rsid w:val="00E857D6"/>
    <w:rsid w:val="00E86AEE"/>
    <w:rsid w:val="00E90AB5"/>
    <w:rsid w:val="00E9347B"/>
    <w:rsid w:val="00E96D39"/>
    <w:rsid w:val="00EA0163"/>
    <w:rsid w:val="00EA0C3A"/>
    <w:rsid w:val="00EA30C6"/>
    <w:rsid w:val="00EB2779"/>
    <w:rsid w:val="00EC0845"/>
    <w:rsid w:val="00ED18F9"/>
    <w:rsid w:val="00ED53C9"/>
    <w:rsid w:val="00EE7DA3"/>
    <w:rsid w:val="00EF31D4"/>
    <w:rsid w:val="00EF71D7"/>
    <w:rsid w:val="00F103CE"/>
    <w:rsid w:val="00F11767"/>
    <w:rsid w:val="00F1369B"/>
    <w:rsid w:val="00F14FEC"/>
    <w:rsid w:val="00F1662D"/>
    <w:rsid w:val="00F3099C"/>
    <w:rsid w:val="00F35F4F"/>
    <w:rsid w:val="00F361E3"/>
    <w:rsid w:val="00F42C58"/>
    <w:rsid w:val="00F445D5"/>
    <w:rsid w:val="00F4593C"/>
    <w:rsid w:val="00F50AC5"/>
    <w:rsid w:val="00F52B20"/>
    <w:rsid w:val="00F54E3A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7CD1"/>
    <w:rsid w:val="00FE091A"/>
    <w:rsid w:val="00F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6F00E"/>
  <w15:docId w15:val="{23984207-FF15-49B8-A9A9-EC8D134E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8F17DE"/>
    <w:pPr>
      <w:tabs>
        <w:tab w:val="left" w:pos="142"/>
        <w:tab w:val="right" w:leader="dot" w:pos="971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Grid">
    <w:name w:val="TableGrid"/>
    <w:rsid w:val="00FF2E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Абзац списка Знак"/>
    <w:basedOn w:val="a2"/>
    <w:link w:val="aff1"/>
    <w:uiPriority w:val="34"/>
    <w:rsid w:val="006420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8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7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9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4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C0E7-BE39-449B-BACB-F8F3BA33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22</Pages>
  <Words>6287</Words>
  <Characters>35840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42043</CharactersWithSpaces>
  <SharedDoc>false</SharedDoc>
  <HLinks>
    <vt:vector size="72" baseType="variant">
      <vt:variant>
        <vt:i4>7602276</vt:i4>
      </vt:variant>
      <vt:variant>
        <vt:i4>44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_Toc142037194</vt:lpwstr>
      </vt:variant>
      <vt:variant>
        <vt:i4>7602276</vt:i4>
      </vt:variant>
      <vt:variant>
        <vt:i4>41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_Toc142037193</vt:lpwstr>
      </vt:variant>
      <vt:variant>
        <vt:i4>7602276</vt:i4>
      </vt:variant>
      <vt:variant>
        <vt:i4>38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_Toc142037192</vt:lpwstr>
      </vt:variant>
      <vt:variant>
        <vt:i4>7602276</vt:i4>
      </vt:variant>
      <vt:variant>
        <vt:i4>35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_Toc142037191</vt:lpwstr>
      </vt:variant>
      <vt:variant>
        <vt:i4>7602276</vt:i4>
      </vt:variant>
      <vt:variant>
        <vt:i4>32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_Toc142037190</vt:lpwstr>
      </vt:variant>
      <vt:variant>
        <vt:i4>7667812</vt:i4>
      </vt:variant>
      <vt:variant>
        <vt:i4>29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_Toc142037189</vt:lpwstr>
      </vt:variant>
      <vt:variant>
        <vt:i4>7667812</vt:i4>
      </vt:variant>
      <vt:variant>
        <vt:i4>26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_Toc142037188</vt:lpwstr>
      </vt:variant>
      <vt:variant>
        <vt:i4>7667812</vt:i4>
      </vt:variant>
      <vt:variant>
        <vt:i4>23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_Toc142037187</vt:lpwstr>
      </vt:variant>
      <vt:variant>
        <vt:i4>7667812</vt:i4>
      </vt:variant>
      <vt:variant>
        <vt:i4>20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_Toc142037186</vt:lpwstr>
      </vt:variant>
      <vt:variant>
        <vt:i4>7667812</vt:i4>
      </vt:variant>
      <vt:variant>
        <vt:i4>14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_Toc142037185</vt:lpwstr>
      </vt:variant>
      <vt:variant>
        <vt:i4>7667812</vt:i4>
      </vt:variant>
      <vt:variant>
        <vt:i4>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_Toc142037184</vt:lpwstr>
      </vt:variant>
      <vt:variant>
        <vt:i4>7667812</vt:i4>
      </vt:variant>
      <vt:variant>
        <vt:i4>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Крупенина Е.Н.</cp:lastModifiedBy>
  <cp:revision>19</cp:revision>
  <cp:lastPrinted>2025-04-17T09:52:00Z</cp:lastPrinted>
  <dcterms:created xsi:type="dcterms:W3CDTF">2024-04-18T13:54:00Z</dcterms:created>
  <dcterms:modified xsi:type="dcterms:W3CDTF">2026-01-27T02:55:00Z</dcterms:modified>
</cp:coreProperties>
</file>